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1C59" w14:textId="2610C033" w:rsidR="00B6727F" w:rsidRDefault="0001030C" w:rsidP="00833FE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330B88">
        <w:rPr>
          <w:lang w:val="fr-FR"/>
        </w:rPr>
        <w:t xml:space="preserve">Check-list </w:t>
      </w:r>
      <w:r>
        <w:rPr>
          <w:lang w:val="fr-FR"/>
        </w:rPr>
        <w:t>i</w:t>
      </w:r>
      <w:r w:rsidRPr="00330B88">
        <w:rPr>
          <w:lang w:val="fr-FR"/>
        </w:rPr>
        <w:t>nspection</w:t>
      </w:r>
      <w:r>
        <w:rPr>
          <w:lang w:val="fr-FR"/>
        </w:rPr>
        <w:t>s</w:t>
      </w:r>
      <w:r w:rsidRPr="00330B88">
        <w:rPr>
          <w:lang w:val="fr-FR"/>
        </w:rPr>
        <w:t xml:space="preserve"> – Distributeur en </w:t>
      </w:r>
      <w:r>
        <w:rPr>
          <w:lang w:val="fr-FR"/>
        </w:rPr>
        <w:t>g</w:t>
      </w:r>
      <w:r w:rsidRPr="00330B88">
        <w:rPr>
          <w:lang w:val="fr-FR"/>
        </w:rPr>
        <w:t xml:space="preserve">ros de </w:t>
      </w:r>
      <w:r>
        <w:rPr>
          <w:lang w:val="fr-FR"/>
        </w:rPr>
        <w:t>m</w:t>
      </w:r>
      <w:r w:rsidRPr="00330B88">
        <w:rPr>
          <w:lang w:val="fr-FR"/>
        </w:rPr>
        <w:t xml:space="preserve">édicaments </w:t>
      </w:r>
      <w:r>
        <w:rPr>
          <w:lang w:val="fr-FR"/>
        </w:rPr>
        <w:t>v</w:t>
      </w:r>
      <w:r w:rsidRPr="00330B88">
        <w:rPr>
          <w:lang w:val="fr-FR"/>
        </w:rPr>
        <w:t>étérinaires</w:t>
      </w:r>
    </w:p>
    <w:p w14:paraId="71F81A85" w14:textId="77777777" w:rsidR="00FC64C0" w:rsidRPr="00FC64C0" w:rsidRDefault="00FC64C0" w:rsidP="00FC64C0">
      <w:pPr>
        <w:rPr>
          <w:lang w:val="fr-FR"/>
        </w:rPr>
      </w:pPr>
    </w:p>
    <w:p w14:paraId="7B374A16" w14:textId="29523025" w:rsidR="00EE5939" w:rsidRDefault="0001030C" w:rsidP="00EE5939">
      <w:pPr>
        <w:pStyle w:val="Heading2"/>
        <w:numPr>
          <w:ilvl w:val="0"/>
          <w:numId w:val="10"/>
        </w:numPr>
      </w:pPr>
      <w:r>
        <w:t xml:space="preserve">Exigences </w:t>
      </w:r>
      <w:proofErr w:type="spellStart"/>
      <w:r w:rsidR="002512AF">
        <w:t>l</w:t>
      </w:r>
      <w:r>
        <w:t>égales</w:t>
      </w:r>
      <w:proofErr w:type="spellEnd"/>
    </w:p>
    <w:tbl>
      <w:tblPr>
        <w:tblStyle w:val="TableGrid"/>
        <w:tblpPr w:leftFromText="141" w:rightFromText="141" w:vertAnchor="text" w:tblpX="-1026" w:tblpY="205"/>
        <w:tblW w:w="10598" w:type="dxa"/>
        <w:tblLook w:val="04A0" w:firstRow="1" w:lastRow="0" w:firstColumn="1" w:lastColumn="0" w:noHBand="0" w:noVBand="1"/>
      </w:tblPr>
      <w:tblGrid>
        <w:gridCol w:w="5103"/>
        <w:gridCol w:w="851"/>
        <w:gridCol w:w="4644"/>
      </w:tblGrid>
      <w:tr w:rsidR="00952A1F" w:rsidRPr="00F95C30" w14:paraId="615783B7" w14:textId="77777777" w:rsidTr="001E4336">
        <w:tc>
          <w:tcPr>
            <w:tcW w:w="5103" w:type="dxa"/>
            <w:tcBorders>
              <w:tr2bl w:val="nil"/>
            </w:tcBorders>
            <w:shd w:val="clear" w:color="auto" w:fill="auto"/>
            <w:vAlign w:val="center"/>
          </w:tcPr>
          <w:p w14:paraId="60B9603C" w14:textId="77777777" w:rsidR="00952A1F" w:rsidRPr="00330B88" w:rsidRDefault="00952A1F" w:rsidP="001E4336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r2bl w:val="nil"/>
            </w:tcBorders>
            <w:shd w:val="clear" w:color="auto" w:fill="auto"/>
            <w:vAlign w:val="center"/>
          </w:tcPr>
          <w:p w14:paraId="42ADBB28" w14:textId="77777777" w:rsidR="00952A1F" w:rsidRDefault="00952A1F" w:rsidP="001E4336"/>
        </w:tc>
        <w:tc>
          <w:tcPr>
            <w:tcW w:w="4644" w:type="dxa"/>
            <w:vAlign w:val="center"/>
          </w:tcPr>
          <w:p w14:paraId="1DF1D3D0" w14:textId="77777777" w:rsidR="00952A1F" w:rsidRPr="00A645F5" w:rsidRDefault="00952A1F" w:rsidP="001E4336">
            <w:pPr>
              <w:tabs>
                <w:tab w:val="left" w:pos="611"/>
              </w:tabs>
              <w:rPr>
                <w:lang w:val="fr-FR"/>
              </w:rPr>
            </w:pPr>
            <w:r w:rsidRPr="00A645F5">
              <w:rPr>
                <w:lang w:val="fr-FR"/>
              </w:rPr>
              <w:t>Référence légale / Numéro de p</w:t>
            </w:r>
            <w:r>
              <w:rPr>
                <w:lang w:val="fr-FR"/>
              </w:rPr>
              <w:t>rocédure</w:t>
            </w:r>
          </w:p>
        </w:tc>
      </w:tr>
      <w:tr w:rsidR="00952A1F" w14:paraId="7EC91DF1" w14:textId="77777777" w:rsidTr="001E4336">
        <w:tc>
          <w:tcPr>
            <w:tcW w:w="5103" w:type="dxa"/>
            <w:vAlign w:val="center"/>
          </w:tcPr>
          <w:p w14:paraId="7564E350" w14:textId="5EBFA5F2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Le personnel technique est qualifié et une personne responsable est désignée.</w:t>
            </w:r>
          </w:p>
        </w:tc>
        <w:tc>
          <w:tcPr>
            <w:tcW w:w="851" w:type="dxa"/>
            <w:vAlign w:val="center"/>
          </w:tcPr>
          <w:p w14:paraId="3A715A1E" w14:textId="77777777" w:rsidR="00952A1F" w:rsidRDefault="00952A1F" w:rsidP="001E4336">
            <w:r>
              <w:t xml:space="preserve">☐ Oui   </w:t>
            </w:r>
          </w:p>
          <w:p w14:paraId="299AF3A9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38826E2A" w14:textId="77777777" w:rsidR="00952A1F" w:rsidRDefault="00952A1F" w:rsidP="001E4336">
            <w:pPr>
              <w:tabs>
                <w:tab w:val="left" w:pos="611"/>
              </w:tabs>
            </w:pPr>
            <w:r>
              <w:tab/>
            </w:r>
          </w:p>
        </w:tc>
      </w:tr>
      <w:tr w:rsidR="00952A1F" w14:paraId="70A21568" w14:textId="77777777" w:rsidTr="001E4336">
        <w:tc>
          <w:tcPr>
            <w:tcW w:w="5103" w:type="dxa"/>
            <w:vAlign w:val="center"/>
          </w:tcPr>
          <w:p w14:paraId="048E9AD8" w14:textId="77777777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Les locaux sont adaptés, sûrs et permettent une conservation adéquate des médicaments vétérinaires.</w:t>
            </w:r>
          </w:p>
        </w:tc>
        <w:tc>
          <w:tcPr>
            <w:tcW w:w="851" w:type="dxa"/>
            <w:vAlign w:val="center"/>
          </w:tcPr>
          <w:p w14:paraId="6DD70058" w14:textId="77777777" w:rsidR="00952A1F" w:rsidRDefault="00952A1F" w:rsidP="001E4336">
            <w:r>
              <w:t xml:space="preserve">☐ Oui   </w:t>
            </w:r>
          </w:p>
          <w:p w14:paraId="6C3532CB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4FEA7547" w14:textId="77777777" w:rsidR="00952A1F" w:rsidRDefault="00952A1F" w:rsidP="001E4336"/>
        </w:tc>
      </w:tr>
      <w:tr w:rsidR="00952A1F" w14:paraId="4E7D7CC3" w14:textId="77777777" w:rsidTr="001E4336">
        <w:tc>
          <w:tcPr>
            <w:tcW w:w="5103" w:type="dxa"/>
            <w:vAlign w:val="center"/>
          </w:tcPr>
          <w:p w14:paraId="151C3736" w14:textId="77777777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Un plan d'urgence est en place pour assurer le rappel ou le retrait des produits si nécessaire.</w:t>
            </w:r>
          </w:p>
        </w:tc>
        <w:tc>
          <w:tcPr>
            <w:tcW w:w="851" w:type="dxa"/>
            <w:vAlign w:val="center"/>
          </w:tcPr>
          <w:p w14:paraId="767ED2FA" w14:textId="77777777" w:rsidR="00952A1F" w:rsidRDefault="00952A1F" w:rsidP="001E4336">
            <w:r>
              <w:t xml:space="preserve">☐ Oui   </w:t>
            </w:r>
          </w:p>
          <w:p w14:paraId="7A70C225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52D4F310" w14:textId="77777777" w:rsidR="00952A1F" w:rsidRDefault="00952A1F" w:rsidP="001E4336"/>
        </w:tc>
      </w:tr>
      <w:tr w:rsidR="00952A1F" w14:paraId="4E3BCF9D" w14:textId="77777777" w:rsidTr="001E4336">
        <w:tc>
          <w:tcPr>
            <w:tcW w:w="5103" w:type="dxa"/>
            <w:vAlign w:val="center"/>
          </w:tcPr>
          <w:p w14:paraId="3F281769" w14:textId="77777777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Un système d’enregistrement et d’archivage garantit la traçabilité complète des opérations.</w:t>
            </w:r>
          </w:p>
        </w:tc>
        <w:tc>
          <w:tcPr>
            <w:tcW w:w="851" w:type="dxa"/>
            <w:vAlign w:val="center"/>
          </w:tcPr>
          <w:p w14:paraId="0016F76E" w14:textId="77777777" w:rsidR="00952A1F" w:rsidRDefault="00952A1F" w:rsidP="001E4336">
            <w:r>
              <w:t xml:space="preserve">☐ Oui   </w:t>
            </w:r>
          </w:p>
          <w:p w14:paraId="0C1EFA1A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1B6D6156" w14:textId="77777777" w:rsidR="00952A1F" w:rsidRDefault="00952A1F" w:rsidP="001E4336"/>
        </w:tc>
      </w:tr>
      <w:tr w:rsidR="00952A1F" w14:paraId="5BC31161" w14:textId="77777777" w:rsidTr="001E4336">
        <w:tc>
          <w:tcPr>
            <w:tcW w:w="5103" w:type="dxa"/>
            <w:vAlign w:val="center"/>
          </w:tcPr>
          <w:p w14:paraId="6798AA93" w14:textId="77777777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Le distributeur s’approvisionne uniquement auprès de titulaires d’autorisations valides.</w:t>
            </w:r>
          </w:p>
        </w:tc>
        <w:tc>
          <w:tcPr>
            <w:tcW w:w="851" w:type="dxa"/>
            <w:vAlign w:val="center"/>
          </w:tcPr>
          <w:p w14:paraId="66D4C2DC" w14:textId="77777777" w:rsidR="00952A1F" w:rsidRDefault="00952A1F" w:rsidP="001E4336">
            <w:r>
              <w:t xml:space="preserve">☐ Oui   </w:t>
            </w:r>
          </w:p>
          <w:p w14:paraId="0B445CA0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58A20C6A" w14:textId="77777777" w:rsidR="00952A1F" w:rsidRDefault="00952A1F" w:rsidP="001E4336"/>
        </w:tc>
      </w:tr>
      <w:tr w:rsidR="00952A1F" w14:paraId="6F328D19" w14:textId="77777777" w:rsidTr="001E4336">
        <w:tc>
          <w:tcPr>
            <w:tcW w:w="5103" w:type="dxa"/>
            <w:vAlign w:val="center"/>
          </w:tcPr>
          <w:p w14:paraId="657E8C07" w14:textId="77777777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Les livraisons sont effectuées exclusivement vers des entités autorisées à exercer la distribution.</w:t>
            </w:r>
          </w:p>
        </w:tc>
        <w:tc>
          <w:tcPr>
            <w:tcW w:w="851" w:type="dxa"/>
            <w:vAlign w:val="center"/>
          </w:tcPr>
          <w:p w14:paraId="42CEE7EC" w14:textId="77777777" w:rsidR="00952A1F" w:rsidRDefault="00952A1F" w:rsidP="001E4336">
            <w:r>
              <w:t xml:space="preserve">☐ Oui   </w:t>
            </w:r>
          </w:p>
          <w:p w14:paraId="16A41A7C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3098C10B" w14:textId="77777777" w:rsidR="00952A1F" w:rsidRDefault="00952A1F" w:rsidP="001E4336"/>
        </w:tc>
      </w:tr>
      <w:tr w:rsidR="00952A1F" w14:paraId="07AD38FC" w14:textId="77777777" w:rsidTr="001E4336">
        <w:tc>
          <w:tcPr>
            <w:tcW w:w="5103" w:type="dxa"/>
            <w:vAlign w:val="center"/>
          </w:tcPr>
          <w:p w14:paraId="015BEA94" w14:textId="77777777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Un responsable de la distribution en gros est désigné et joignable en permanence.</w:t>
            </w:r>
          </w:p>
        </w:tc>
        <w:tc>
          <w:tcPr>
            <w:tcW w:w="851" w:type="dxa"/>
            <w:vAlign w:val="center"/>
          </w:tcPr>
          <w:p w14:paraId="3E42D1DC" w14:textId="77777777" w:rsidR="00952A1F" w:rsidRDefault="00952A1F" w:rsidP="001E4336">
            <w:r>
              <w:t xml:space="preserve">☐ Oui   </w:t>
            </w:r>
          </w:p>
          <w:p w14:paraId="2479B134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6B8FD362" w14:textId="77777777" w:rsidR="00952A1F" w:rsidRDefault="00952A1F" w:rsidP="001E4336"/>
        </w:tc>
      </w:tr>
      <w:tr w:rsidR="00952A1F" w14:paraId="0A3D6C53" w14:textId="77777777" w:rsidTr="001E4336">
        <w:tc>
          <w:tcPr>
            <w:tcW w:w="5103" w:type="dxa"/>
            <w:vAlign w:val="center"/>
          </w:tcPr>
          <w:p w14:paraId="1B6FE20F" w14:textId="77777777" w:rsidR="00952A1F" w:rsidRPr="00330B88" w:rsidRDefault="00952A1F" w:rsidP="001E4336">
            <w:pPr>
              <w:rPr>
                <w:lang w:val="fr-FR"/>
              </w:rPr>
            </w:pPr>
            <w:r w:rsidRPr="00330B88">
              <w:rPr>
                <w:lang w:val="fr-FR"/>
              </w:rPr>
              <w:t>Une procédure de signalement des produits falsifiés ou suspects est mise en œuvre.</w:t>
            </w:r>
          </w:p>
        </w:tc>
        <w:tc>
          <w:tcPr>
            <w:tcW w:w="851" w:type="dxa"/>
            <w:vAlign w:val="center"/>
          </w:tcPr>
          <w:p w14:paraId="2E400A01" w14:textId="77777777" w:rsidR="00952A1F" w:rsidRDefault="00952A1F" w:rsidP="001E4336">
            <w:r>
              <w:t xml:space="preserve">☐ Oui   </w:t>
            </w:r>
          </w:p>
          <w:p w14:paraId="69CC96D0" w14:textId="77777777" w:rsidR="00952A1F" w:rsidRDefault="00952A1F" w:rsidP="001E4336">
            <w:r>
              <w:t xml:space="preserve">☐ Non   </w:t>
            </w:r>
          </w:p>
        </w:tc>
        <w:tc>
          <w:tcPr>
            <w:tcW w:w="4644" w:type="dxa"/>
            <w:vAlign w:val="center"/>
          </w:tcPr>
          <w:p w14:paraId="68C28A38" w14:textId="77777777" w:rsidR="00952A1F" w:rsidRDefault="00952A1F" w:rsidP="001E4336"/>
        </w:tc>
      </w:tr>
    </w:tbl>
    <w:p w14:paraId="1B5C4859" w14:textId="77777777" w:rsidR="00B6727F" w:rsidRDefault="00B6727F"/>
    <w:p w14:paraId="3E504BE2" w14:textId="56C5352E" w:rsidR="00B6727F" w:rsidRDefault="0001030C" w:rsidP="00EE5939">
      <w:pPr>
        <w:pStyle w:val="Heading2"/>
        <w:numPr>
          <w:ilvl w:val="0"/>
          <w:numId w:val="10"/>
        </w:numPr>
      </w:pPr>
      <w:r>
        <w:t xml:space="preserve">Système </w:t>
      </w:r>
      <w:proofErr w:type="spellStart"/>
      <w:r w:rsidR="00777CD1">
        <w:t>q</w:t>
      </w:r>
      <w:r>
        <w:t>ualité</w:t>
      </w:r>
      <w:proofErr w:type="spellEnd"/>
    </w:p>
    <w:p w14:paraId="50F146D5" w14:textId="77777777" w:rsidR="00EE5939" w:rsidRPr="00EE5939" w:rsidRDefault="00EE5939" w:rsidP="00EE5939"/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5103"/>
        <w:gridCol w:w="851"/>
        <w:gridCol w:w="4678"/>
      </w:tblGrid>
      <w:tr w:rsidR="00EE5939" w14:paraId="7201F334" w14:textId="4B31BDB7" w:rsidTr="001E4336">
        <w:tc>
          <w:tcPr>
            <w:tcW w:w="5103" w:type="dxa"/>
            <w:vAlign w:val="center"/>
          </w:tcPr>
          <w:p w14:paraId="297BF6DE" w14:textId="77777777" w:rsidR="00EE5939" w:rsidRPr="00330B88" w:rsidRDefault="00EE5939" w:rsidP="00777CD1">
            <w:pPr>
              <w:rPr>
                <w:lang w:val="fr-FR"/>
              </w:rPr>
            </w:pPr>
            <w:r w:rsidRPr="00330B88">
              <w:rPr>
                <w:lang w:val="fr-FR"/>
              </w:rPr>
              <w:t>Un système qualité documenté est établi, proportionné à la taille et à la complexité de l’activité.</w:t>
            </w:r>
          </w:p>
        </w:tc>
        <w:tc>
          <w:tcPr>
            <w:tcW w:w="851" w:type="dxa"/>
            <w:vAlign w:val="center"/>
          </w:tcPr>
          <w:p w14:paraId="72EFF7DC" w14:textId="77777777" w:rsidR="00EE5939" w:rsidRDefault="00EE5939" w:rsidP="00777CD1">
            <w:r>
              <w:t xml:space="preserve">☐ Oui   </w:t>
            </w:r>
          </w:p>
          <w:p w14:paraId="13BA6D5B" w14:textId="63D163D6" w:rsidR="00EE5939" w:rsidRDefault="00EE5939" w:rsidP="00777CD1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37A99A7D" w14:textId="77777777" w:rsidR="00EE5939" w:rsidRDefault="00EE5939" w:rsidP="00777CD1"/>
        </w:tc>
      </w:tr>
      <w:tr w:rsidR="00EE5939" w14:paraId="0EE32B16" w14:textId="0098866E" w:rsidTr="001E4336">
        <w:tc>
          <w:tcPr>
            <w:tcW w:w="5103" w:type="dxa"/>
            <w:vAlign w:val="center"/>
          </w:tcPr>
          <w:p w14:paraId="4FDC061B" w14:textId="77777777" w:rsidR="00EE5939" w:rsidRPr="00330B88" w:rsidRDefault="00EE5939" w:rsidP="00777CD1">
            <w:pPr>
              <w:rPr>
                <w:lang w:val="fr-FR"/>
              </w:rPr>
            </w:pPr>
            <w:r w:rsidRPr="00330B88">
              <w:rPr>
                <w:lang w:val="fr-FR"/>
              </w:rPr>
              <w:t>Les responsabilités et processus sont clairement définis dans la documentation qualité.</w:t>
            </w:r>
          </w:p>
        </w:tc>
        <w:tc>
          <w:tcPr>
            <w:tcW w:w="851" w:type="dxa"/>
            <w:vAlign w:val="center"/>
          </w:tcPr>
          <w:p w14:paraId="7ABDEDF5" w14:textId="77777777" w:rsidR="00EE5939" w:rsidRDefault="00EE5939" w:rsidP="00777CD1">
            <w:r>
              <w:t xml:space="preserve">☐ Oui   </w:t>
            </w:r>
          </w:p>
          <w:p w14:paraId="46E30928" w14:textId="7B049B12" w:rsidR="00EE5939" w:rsidRDefault="00EE5939" w:rsidP="00777CD1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552A7154" w14:textId="77777777" w:rsidR="00EE5939" w:rsidRDefault="00EE5939" w:rsidP="00777CD1"/>
        </w:tc>
      </w:tr>
      <w:tr w:rsidR="00EE5939" w14:paraId="14695B91" w14:textId="584A7928" w:rsidTr="001E4336">
        <w:tc>
          <w:tcPr>
            <w:tcW w:w="5103" w:type="dxa"/>
            <w:vAlign w:val="center"/>
          </w:tcPr>
          <w:p w14:paraId="3BF89F84" w14:textId="77777777" w:rsidR="00EE5939" w:rsidRPr="00330B88" w:rsidRDefault="00EE5939" w:rsidP="00777CD1">
            <w:pPr>
              <w:rPr>
                <w:lang w:val="fr-FR"/>
              </w:rPr>
            </w:pPr>
            <w:r w:rsidRPr="00330B88">
              <w:rPr>
                <w:lang w:val="fr-FR"/>
              </w:rPr>
              <w:t>Les changements sont maîtrisés via une procédure de gestion du changement.</w:t>
            </w:r>
          </w:p>
        </w:tc>
        <w:tc>
          <w:tcPr>
            <w:tcW w:w="851" w:type="dxa"/>
            <w:vAlign w:val="center"/>
          </w:tcPr>
          <w:p w14:paraId="4674DDDD" w14:textId="77777777" w:rsidR="00EE5939" w:rsidRDefault="00EE5939" w:rsidP="00777CD1">
            <w:r>
              <w:t xml:space="preserve">☐ Oui   </w:t>
            </w:r>
          </w:p>
          <w:p w14:paraId="4C0C7174" w14:textId="635EC9E9" w:rsidR="00EE5939" w:rsidRDefault="00EE5939" w:rsidP="00777CD1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555AFE72" w14:textId="77777777" w:rsidR="00EE5939" w:rsidRDefault="00EE5939" w:rsidP="00777CD1"/>
        </w:tc>
      </w:tr>
      <w:tr w:rsidR="00EE5939" w14:paraId="1A0E72CB" w14:textId="1EE03B06" w:rsidTr="001E4336">
        <w:tc>
          <w:tcPr>
            <w:tcW w:w="5103" w:type="dxa"/>
            <w:vAlign w:val="center"/>
          </w:tcPr>
          <w:p w14:paraId="28EA76C9" w14:textId="77777777" w:rsidR="00EE5939" w:rsidRPr="00330B88" w:rsidRDefault="00EE5939" w:rsidP="00777CD1">
            <w:pPr>
              <w:rPr>
                <w:lang w:val="fr-FR"/>
              </w:rPr>
            </w:pPr>
            <w:r w:rsidRPr="00330B88">
              <w:rPr>
                <w:lang w:val="fr-FR"/>
              </w:rPr>
              <w:t>Les risques qualité sont évalués et gérés de manière proactive.</w:t>
            </w:r>
          </w:p>
        </w:tc>
        <w:tc>
          <w:tcPr>
            <w:tcW w:w="851" w:type="dxa"/>
            <w:vAlign w:val="center"/>
          </w:tcPr>
          <w:p w14:paraId="4A9BCD7E" w14:textId="77777777" w:rsidR="00EE5939" w:rsidRDefault="00EE5939" w:rsidP="00777CD1">
            <w:r>
              <w:t xml:space="preserve">☐ Oui   </w:t>
            </w:r>
          </w:p>
          <w:p w14:paraId="45DBBDD5" w14:textId="0C70488C" w:rsidR="00EE5939" w:rsidRDefault="00EE5939" w:rsidP="00777CD1">
            <w:r>
              <w:t xml:space="preserve">☐ Non  </w:t>
            </w:r>
          </w:p>
        </w:tc>
        <w:tc>
          <w:tcPr>
            <w:tcW w:w="4678" w:type="dxa"/>
            <w:vAlign w:val="center"/>
          </w:tcPr>
          <w:p w14:paraId="46DC337D" w14:textId="77777777" w:rsidR="00EE5939" w:rsidRDefault="00EE5939" w:rsidP="00777CD1"/>
        </w:tc>
      </w:tr>
      <w:tr w:rsidR="00EE5939" w14:paraId="5FE83F10" w14:textId="08B02D7D" w:rsidTr="001E4336">
        <w:tc>
          <w:tcPr>
            <w:tcW w:w="5103" w:type="dxa"/>
            <w:vAlign w:val="center"/>
          </w:tcPr>
          <w:p w14:paraId="37568421" w14:textId="77777777" w:rsidR="00EE5939" w:rsidRPr="00330B88" w:rsidRDefault="00EE5939" w:rsidP="00777CD1">
            <w:pPr>
              <w:rPr>
                <w:lang w:val="fr-FR"/>
              </w:rPr>
            </w:pPr>
            <w:r w:rsidRPr="00330B88">
              <w:rPr>
                <w:lang w:val="fr-FR"/>
              </w:rPr>
              <w:t>La direction procède à une revue périodique de l’efficacité du système qualité.</w:t>
            </w:r>
          </w:p>
        </w:tc>
        <w:tc>
          <w:tcPr>
            <w:tcW w:w="851" w:type="dxa"/>
            <w:vAlign w:val="center"/>
          </w:tcPr>
          <w:p w14:paraId="3B22854D" w14:textId="77777777" w:rsidR="00EE5939" w:rsidRDefault="00EE5939" w:rsidP="00777CD1">
            <w:r>
              <w:t xml:space="preserve">☐ Oui   </w:t>
            </w:r>
          </w:p>
          <w:p w14:paraId="0D17AA2D" w14:textId="5627422C" w:rsidR="00EE5939" w:rsidRDefault="00EE5939" w:rsidP="00777CD1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13F91DFB" w14:textId="77777777" w:rsidR="00EE5939" w:rsidRDefault="00EE5939" w:rsidP="00777CD1"/>
        </w:tc>
      </w:tr>
      <w:tr w:rsidR="00EE5939" w14:paraId="27D31537" w14:textId="56FFD77C" w:rsidTr="001E4336">
        <w:tc>
          <w:tcPr>
            <w:tcW w:w="5103" w:type="dxa"/>
            <w:vAlign w:val="center"/>
          </w:tcPr>
          <w:p w14:paraId="6BC823EC" w14:textId="77777777" w:rsidR="00EE5939" w:rsidRPr="00330B88" w:rsidRDefault="00EE5939" w:rsidP="00777CD1">
            <w:pPr>
              <w:rPr>
                <w:lang w:val="fr-FR"/>
              </w:rPr>
            </w:pPr>
            <w:r w:rsidRPr="00330B88">
              <w:rPr>
                <w:lang w:val="fr-FR"/>
              </w:rPr>
              <w:t>Les activités externalisées sont évaluées et font l’objet d’un suivi régulier.</w:t>
            </w:r>
          </w:p>
        </w:tc>
        <w:tc>
          <w:tcPr>
            <w:tcW w:w="851" w:type="dxa"/>
            <w:vAlign w:val="center"/>
          </w:tcPr>
          <w:p w14:paraId="34679F5E" w14:textId="77777777" w:rsidR="00EE5939" w:rsidRDefault="00EE5939" w:rsidP="00777CD1">
            <w:r>
              <w:t xml:space="preserve">☐ Oui   </w:t>
            </w:r>
          </w:p>
          <w:p w14:paraId="78171023" w14:textId="3660A35B" w:rsidR="00EE5939" w:rsidRDefault="00EE5939" w:rsidP="00777CD1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3C8538BD" w14:textId="77777777" w:rsidR="00EE5939" w:rsidRDefault="00EE5939" w:rsidP="00777CD1"/>
        </w:tc>
      </w:tr>
    </w:tbl>
    <w:p w14:paraId="3A4E446B" w14:textId="77777777" w:rsidR="00302213" w:rsidRDefault="00302213"/>
    <w:p w14:paraId="54016112" w14:textId="33B76F9A" w:rsidR="00B6727F" w:rsidRDefault="0001030C" w:rsidP="00777CD1">
      <w:pPr>
        <w:pStyle w:val="Heading2"/>
        <w:numPr>
          <w:ilvl w:val="0"/>
          <w:numId w:val="10"/>
        </w:numPr>
      </w:pPr>
      <w:r>
        <w:lastRenderedPageBreak/>
        <w:t>Personnel</w:t>
      </w:r>
    </w:p>
    <w:p w14:paraId="5C5B401D" w14:textId="77777777" w:rsidR="00777CD1" w:rsidRPr="00777CD1" w:rsidRDefault="00777CD1" w:rsidP="00777CD1">
      <w:pPr>
        <w:pStyle w:val="ListParagraph"/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4962"/>
        <w:gridCol w:w="851"/>
        <w:gridCol w:w="4536"/>
      </w:tblGrid>
      <w:tr w:rsidR="00EB752B" w14:paraId="519E2413" w14:textId="33F1B318" w:rsidTr="00B67FD8">
        <w:tc>
          <w:tcPr>
            <w:tcW w:w="4962" w:type="dxa"/>
            <w:vAlign w:val="center"/>
          </w:tcPr>
          <w:p w14:paraId="53F5D91D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Les responsables disposent des compétences et de la formation requises pour leur rôle.</w:t>
            </w:r>
          </w:p>
        </w:tc>
        <w:tc>
          <w:tcPr>
            <w:tcW w:w="851" w:type="dxa"/>
            <w:vAlign w:val="center"/>
          </w:tcPr>
          <w:p w14:paraId="09F9345F" w14:textId="77777777" w:rsidR="00EB752B" w:rsidRDefault="00EB752B" w:rsidP="00174407">
            <w:r>
              <w:t xml:space="preserve">☐ Oui   </w:t>
            </w:r>
          </w:p>
          <w:p w14:paraId="199704C1" w14:textId="67A39788" w:rsidR="00EB752B" w:rsidRDefault="00EB752B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5A7070F1" w14:textId="77777777" w:rsidR="00EB752B" w:rsidRDefault="00EB752B" w:rsidP="00174407"/>
        </w:tc>
      </w:tr>
      <w:tr w:rsidR="00EB752B" w14:paraId="7C9B8228" w14:textId="26A9A37F" w:rsidTr="00B67FD8">
        <w:tc>
          <w:tcPr>
            <w:tcW w:w="4962" w:type="dxa"/>
            <w:vAlign w:val="center"/>
          </w:tcPr>
          <w:p w14:paraId="3ADABD14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Un remplaçant est identifié pour assurer la continuité en cas d’absence.</w:t>
            </w:r>
          </w:p>
        </w:tc>
        <w:tc>
          <w:tcPr>
            <w:tcW w:w="851" w:type="dxa"/>
            <w:vAlign w:val="center"/>
          </w:tcPr>
          <w:p w14:paraId="0E66CF63" w14:textId="77777777" w:rsidR="00EB752B" w:rsidRDefault="00EB752B" w:rsidP="00174407">
            <w:r>
              <w:t xml:space="preserve">☐ Oui   </w:t>
            </w:r>
          </w:p>
          <w:p w14:paraId="74946960" w14:textId="385ACC92" w:rsidR="00EB752B" w:rsidRDefault="00EB752B" w:rsidP="00174407">
            <w:r>
              <w:t xml:space="preserve">☐ Non  </w:t>
            </w:r>
          </w:p>
        </w:tc>
        <w:tc>
          <w:tcPr>
            <w:tcW w:w="4536" w:type="dxa"/>
            <w:vAlign w:val="center"/>
          </w:tcPr>
          <w:p w14:paraId="54F1FFB9" w14:textId="77777777" w:rsidR="00EB752B" w:rsidRDefault="00EB752B" w:rsidP="00174407"/>
        </w:tc>
      </w:tr>
      <w:tr w:rsidR="00EB752B" w14:paraId="5B78A3EB" w14:textId="62EC4C13" w:rsidTr="00B67FD8">
        <w:tc>
          <w:tcPr>
            <w:tcW w:w="4962" w:type="dxa"/>
            <w:vAlign w:val="center"/>
          </w:tcPr>
          <w:p w14:paraId="74DD2327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Le personnel est en nombre suffisant et qualifié pour les activités de distribution.</w:t>
            </w:r>
          </w:p>
        </w:tc>
        <w:tc>
          <w:tcPr>
            <w:tcW w:w="851" w:type="dxa"/>
            <w:vAlign w:val="center"/>
          </w:tcPr>
          <w:p w14:paraId="34950378" w14:textId="77777777" w:rsidR="00EB752B" w:rsidRDefault="00EB752B" w:rsidP="00174407">
            <w:r>
              <w:t xml:space="preserve">☐ Oui   </w:t>
            </w:r>
          </w:p>
          <w:p w14:paraId="629A7B4A" w14:textId="192ED458" w:rsidR="00EB752B" w:rsidRDefault="00EB752B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1E2F5603" w14:textId="77777777" w:rsidR="00EB752B" w:rsidRDefault="00EB752B" w:rsidP="00174407"/>
        </w:tc>
      </w:tr>
      <w:tr w:rsidR="00EB752B" w14:paraId="667D6D91" w14:textId="19037427" w:rsidTr="00B67FD8">
        <w:tc>
          <w:tcPr>
            <w:tcW w:w="4962" w:type="dxa"/>
            <w:vAlign w:val="center"/>
          </w:tcPr>
          <w:p w14:paraId="3E3546A3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Un organigramme clair définit les rôles et responsabilités.</w:t>
            </w:r>
          </w:p>
        </w:tc>
        <w:tc>
          <w:tcPr>
            <w:tcW w:w="851" w:type="dxa"/>
            <w:vAlign w:val="center"/>
          </w:tcPr>
          <w:p w14:paraId="108A227E" w14:textId="77777777" w:rsidR="00EB752B" w:rsidRDefault="00EB752B" w:rsidP="00174407">
            <w:r>
              <w:t xml:space="preserve">☐ Oui   </w:t>
            </w:r>
          </w:p>
          <w:p w14:paraId="1CE3B402" w14:textId="53B2E1B8" w:rsidR="00EB752B" w:rsidRDefault="00EB752B" w:rsidP="00174407">
            <w:r>
              <w:t xml:space="preserve">☐ Non  </w:t>
            </w:r>
          </w:p>
        </w:tc>
        <w:tc>
          <w:tcPr>
            <w:tcW w:w="4536" w:type="dxa"/>
            <w:vAlign w:val="center"/>
          </w:tcPr>
          <w:p w14:paraId="348BC573" w14:textId="77777777" w:rsidR="00EB752B" w:rsidRDefault="00EB752B" w:rsidP="00174407"/>
        </w:tc>
      </w:tr>
      <w:tr w:rsidR="00EB752B" w14:paraId="7007FA1C" w14:textId="712298FA" w:rsidTr="00B67FD8">
        <w:tc>
          <w:tcPr>
            <w:tcW w:w="4962" w:type="dxa"/>
            <w:vAlign w:val="center"/>
          </w:tcPr>
          <w:p w14:paraId="74E14065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Des descriptions de poste écrites existent et sont tenues à jour.</w:t>
            </w:r>
          </w:p>
        </w:tc>
        <w:tc>
          <w:tcPr>
            <w:tcW w:w="851" w:type="dxa"/>
            <w:vAlign w:val="center"/>
          </w:tcPr>
          <w:p w14:paraId="7D3EC4C5" w14:textId="77777777" w:rsidR="00EB752B" w:rsidRDefault="00EB752B" w:rsidP="00174407">
            <w:r>
              <w:t xml:space="preserve">☐ Oui   </w:t>
            </w:r>
          </w:p>
          <w:p w14:paraId="0070520A" w14:textId="1E59FCAA" w:rsidR="00EB752B" w:rsidRDefault="00EB752B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5753A49B" w14:textId="77777777" w:rsidR="00EB752B" w:rsidRDefault="00EB752B" w:rsidP="00174407"/>
        </w:tc>
      </w:tr>
      <w:tr w:rsidR="00EB752B" w14:paraId="2FF53132" w14:textId="3EDEBCD4" w:rsidTr="00B67FD8">
        <w:tc>
          <w:tcPr>
            <w:tcW w:w="4962" w:type="dxa"/>
            <w:vAlign w:val="center"/>
          </w:tcPr>
          <w:p w14:paraId="7D12F204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Des formations initiales et continues sont dispensées selon un programme établi.</w:t>
            </w:r>
          </w:p>
        </w:tc>
        <w:tc>
          <w:tcPr>
            <w:tcW w:w="851" w:type="dxa"/>
            <w:vAlign w:val="center"/>
          </w:tcPr>
          <w:p w14:paraId="30F4FC26" w14:textId="77777777" w:rsidR="00EB752B" w:rsidRDefault="00EB752B" w:rsidP="00174407">
            <w:r>
              <w:t xml:space="preserve">☐ Oui   </w:t>
            </w:r>
          </w:p>
          <w:p w14:paraId="5ADB73C5" w14:textId="6C0FB08D" w:rsidR="00EB752B" w:rsidRDefault="00EB752B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01FEE7C9" w14:textId="77777777" w:rsidR="00EB752B" w:rsidRDefault="00EB752B" w:rsidP="00174407"/>
        </w:tc>
      </w:tr>
      <w:tr w:rsidR="00EB752B" w14:paraId="2E9D58E8" w14:textId="2B0ECA89" w:rsidTr="00B67FD8">
        <w:tc>
          <w:tcPr>
            <w:tcW w:w="4962" w:type="dxa"/>
            <w:vAlign w:val="center"/>
          </w:tcPr>
          <w:p w14:paraId="6C6D22D4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Des formations spécifiques sont assurées pour les produits sensibles ou dangereux.</w:t>
            </w:r>
          </w:p>
        </w:tc>
        <w:tc>
          <w:tcPr>
            <w:tcW w:w="851" w:type="dxa"/>
            <w:vAlign w:val="center"/>
          </w:tcPr>
          <w:p w14:paraId="7F551B60" w14:textId="77777777" w:rsidR="00EB752B" w:rsidRDefault="00EB752B" w:rsidP="00174407">
            <w:r>
              <w:t xml:space="preserve">☐ Oui   </w:t>
            </w:r>
          </w:p>
          <w:p w14:paraId="31DE0CC9" w14:textId="4179F913" w:rsidR="00EB752B" w:rsidRDefault="00EB752B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717CAC4E" w14:textId="77777777" w:rsidR="00EB752B" w:rsidRDefault="00EB752B" w:rsidP="00174407"/>
        </w:tc>
      </w:tr>
      <w:tr w:rsidR="00EB752B" w14:paraId="1CF8AED9" w14:textId="56EB2891" w:rsidTr="00B67FD8">
        <w:tc>
          <w:tcPr>
            <w:tcW w:w="4962" w:type="dxa"/>
            <w:vAlign w:val="center"/>
          </w:tcPr>
          <w:p w14:paraId="6568869C" w14:textId="77777777" w:rsidR="00EB752B" w:rsidRPr="00330B88" w:rsidRDefault="00EB752B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Des règles d’hygiène et d’habillement adaptées sont appliquées par tout le personnel.</w:t>
            </w:r>
          </w:p>
        </w:tc>
        <w:tc>
          <w:tcPr>
            <w:tcW w:w="851" w:type="dxa"/>
            <w:vAlign w:val="center"/>
          </w:tcPr>
          <w:p w14:paraId="7767C72A" w14:textId="77777777" w:rsidR="00EB752B" w:rsidRDefault="00EB752B" w:rsidP="00174407">
            <w:r>
              <w:t xml:space="preserve">☐ Oui   </w:t>
            </w:r>
          </w:p>
          <w:p w14:paraId="7600EFB3" w14:textId="7F082B08" w:rsidR="00EB752B" w:rsidRDefault="00EB752B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168022D0" w14:textId="77777777" w:rsidR="00EB752B" w:rsidRDefault="00EB752B" w:rsidP="00174407"/>
        </w:tc>
      </w:tr>
    </w:tbl>
    <w:p w14:paraId="0B588863" w14:textId="77777777" w:rsidR="00B6727F" w:rsidRDefault="00B6727F"/>
    <w:p w14:paraId="5E74F15D" w14:textId="14E01FBD" w:rsidR="00B6727F" w:rsidRDefault="0001030C" w:rsidP="003271B0">
      <w:pPr>
        <w:pStyle w:val="Heading2"/>
        <w:numPr>
          <w:ilvl w:val="0"/>
          <w:numId w:val="10"/>
        </w:numPr>
      </w:pPr>
      <w:proofErr w:type="spellStart"/>
      <w:r>
        <w:t>Locaux</w:t>
      </w:r>
      <w:proofErr w:type="spellEnd"/>
      <w:r>
        <w:t xml:space="preserve"> et </w:t>
      </w:r>
      <w:proofErr w:type="spellStart"/>
      <w:r w:rsidR="00174407">
        <w:t>é</w:t>
      </w:r>
      <w:r>
        <w:t>quipements</w:t>
      </w:r>
      <w:proofErr w:type="spellEnd"/>
    </w:p>
    <w:p w14:paraId="652FA8CF" w14:textId="77777777" w:rsidR="003271B0" w:rsidRPr="003271B0" w:rsidRDefault="003271B0" w:rsidP="003271B0">
      <w:pPr>
        <w:pStyle w:val="ListParagraph"/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4962"/>
        <w:gridCol w:w="851"/>
        <w:gridCol w:w="4536"/>
      </w:tblGrid>
      <w:tr w:rsidR="00E257DE" w14:paraId="53ECEA9A" w14:textId="580C750A" w:rsidTr="00B67FD8">
        <w:tc>
          <w:tcPr>
            <w:tcW w:w="4962" w:type="dxa"/>
            <w:vAlign w:val="center"/>
          </w:tcPr>
          <w:p w14:paraId="475C6DDA" w14:textId="77777777" w:rsidR="00E257DE" w:rsidRPr="00330B88" w:rsidRDefault="00E257DE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Les locaux garantissent des conditions de stockage adéquates (température, humidité, sécurité).</w:t>
            </w:r>
          </w:p>
        </w:tc>
        <w:tc>
          <w:tcPr>
            <w:tcW w:w="851" w:type="dxa"/>
            <w:vAlign w:val="center"/>
          </w:tcPr>
          <w:p w14:paraId="2735ACC5" w14:textId="77777777" w:rsidR="00E257DE" w:rsidRDefault="00E257DE" w:rsidP="00174407">
            <w:r>
              <w:t xml:space="preserve">☐ Oui   </w:t>
            </w:r>
          </w:p>
          <w:p w14:paraId="3FEF21B5" w14:textId="6350A0CC" w:rsidR="00E257DE" w:rsidRDefault="00E257DE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70F2F5BE" w14:textId="77777777" w:rsidR="00E257DE" w:rsidRDefault="00E257DE" w:rsidP="00174407"/>
        </w:tc>
      </w:tr>
      <w:tr w:rsidR="00E257DE" w14:paraId="6A0AAC20" w14:textId="33CA768E" w:rsidTr="00B67FD8">
        <w:tc>
          <w:tcPr>
            <w:tcW w:w="4962" w:type="dxa"/>
            <w:vAlign w:val="center"/>
          </w:tcPr>
          <w:p w14:paraId="42F10B95" w14:textId="77777777" w:rsidR="00E257DE" w:rsidRPr="00330B88" w:rsidRDefault="00E257DE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Les zones de stockage sont séparées, identifiées et réservées au personnel autorisé.</w:t>
            </w:r>
          </w:p>
        </w:tc>
        <w:tc>
          <w:tcPr>
            <w:tcW w:w="851" w:type="dxa"/>
            <w:vAlign w:val="center"/>
          </w:tcPr>
          <w:p w14:paraId="7CF801C6" w14:textId="77777777" w:rsidR="00E257DE" w:rsidRDefault="00E257DE" w:rsidP="00174407">
            <w:r>
              <w:t xml:space="preserve">☐ Oui   </w:t>
            </w:r>
          </w:p>
          <w:p w14:paraId="345633B6" w14:textId="5131C24E" w:rsidR="00E257DE" w:rsidRDefault="00E257DE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7932FB3A" w14:textId="77777777" w:rsidR="00E257DE" w:rsidRDefault="00E257DE" w:rsidP="00174407"/>
        </w:tc>
      </w:tr>
      <w:tr w:rsidR="00E257DE" w14:paraId="36528461" w14:textId="33DCD183" w:rsidTr="00B67FD8">
        <w:tc>
          <w:tcPr>
            <w:tcW w:w="4962" w:type="dxa"/>
            <w:vAlign w:val="center"/>
          </w:tcPr>
          <w:p w14:paraId="367A2DC1" w14:textId="77777777" w:rsidR="00E257DE" w:rsidRPr="00330B88" w:rsidRDefault="00E257DE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Des zones spécifiques sont prévues pour les produits dangereux ou inflammables.</w:t>
            </w:r>
          </w:p>
        </w:tc>
        <w:tc>
          <w:tcPr>
            <w:tcW w:w="851" w:type="dxa"/>
            <w:vAlign w:val="center"/>
          </w:tcPr>
          <w:p w14:paraId="456AD0DB" w14:textId="77777777" w:rsidR="00E257DE" w:rsidRDefault="00E257DE" w:rsidP="00174407">
            <w:r>
              <w:t xml:space="preserve">☐ Oui   </w:t>
            </w:r>
          </w:p>
          <w:p w14:paraId="083A0EB2" w14:textId="51690828" w:rsidR="00E257DE" w:rsidRDefault="00E257DE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395E68BB" w14:textId="77777777" w:rsidR="00E257DE" w:rsidRDefault="00E257DE" w:rsidP="00174407"/>
        </w:tc>
      </w:tr>
      <w:tr w:rsidR="00E257DE" w14:paraId="546530D4" w14:textId="75E4951D" w:rsidTr="00B67FD8">
        <w:tc>
          <w:tcPr>
            <w:tcW w:w="4962" w:type="dxa"/>
            <w:vAlign w:val="center"/>
          </w:tcPr>
          <w:p w14:paraId="16AD3C2E" w14:textId="77777777" w:rsidR="00E257DE" w:rsidRPr="00330B88" w:rsidRDefault="00E257DE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Un programme de nettoyage et d’entretien est en place et documenté.</w:t>
            </w:r>
          </w:p>
        </w:tc>
        <w:tc>
          <w:tcPr>
            <w:tcW w:w="851" w:type="dxa"/>
            <w:vAlign w:val="center"/>
          </w:tcPr>
          <w:p w14:paraId="4D0FBA69" w14:textId="77777777" w:rsidR="00E257DE" w:rsidRDefault="00E257DE" w:rsidP="00174407">
            <w:r>
              <w:t xml:space="preserve">☐ Oui   </w:t>
            </w:r>
          </w:p>
          <w:p w14:paraId="0EEA7A5E" w14:textId="2DDB31BC" w:rsidR="00E257DE" w:rsidRDefault="00E257DE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5D3968CD" w14:textId="77777777" w:rsidR="00E257DE" w:rsidRDefault="00E257DE" w:rsidP="00174407"/>
        </w:tc>
      </w:tr>
      <w:tr w:rsidR="00E257DE" w14:paraId="63F86F1B" w14:textId="7E7676A2" w:rsidTr="00B67FD8">
        <w:tc>
          <w:tcPr>
            <w:tcW w:w="4962" w:type="dxa"/>
            <w:vAlign w:val="center"/>
          </w:tcPr>
          <w:p w14:paraId="490F1633" w14:textId="77777777" w:rsidR="00E257DE" w:rsidRPr="00330B88" w:rsidRDefault="00E257DE" w:rsidP="00174407">
            <w:pPr>
              <w:rPr>
                <w:lang w:val="fr-FR"/>
              </w:rPr>
            </w:pPr>
            <w:r w:rsidRPr="00330B88">
              <w:rPr>
                <w:lang w:val="fr-FR"/>
              </w:rPr>
              <w:t>Les équipements critiques sont maintenus et calibrés selon un plan défini.</w:t>
            </w:r>
          </w:p>
        </w:tc>
        <w:tc>
          <w:tcPr>
            <w:tcW w:w="851" w:type="dxa"/>
            <w:vAlign w:val="center"/>
          </w:tcPr>
          <w:p w14:paraId="157AAA70" w14:textId="77777777" w:rsidR="00E257DE" w:rsidRDefault="00E257DE" w:rsidP="00174407">
            <w:r>
              <w:t xml:space="preserve">☐ Oui  </w:t>
            </w:r>
          </w:p>
          <w:p w14:paraId="62D36C8E" w14:textId="1DE95073" w:rsidR="00E257DE" w:rsidRDefault="00E257DE" w:rsidP="00174407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21B20FDA" w14:textId="77777777" w:rsidR="00E257DE" w:rsidRDefault="00E257DE" w:rsidP="00174407"/>
        </w:tc>
      </w:tr>
      <w:tr w:rsidR="00E257DE" w14:paraId="7A352694" w14:textId="4716E05B" w:rsidTr="00B67FD8">
        <w:tc>
          <w:tcPr>
            <w:tcW w:w="4962" w:type="dxa"/>
            <w:vAlign w:val="center"/>
          </w:tcPr>
          <w:p w14:paraId="4CCB51C0" w14:textId="77777777" w:rsidR="00E257DE" w:rsidRPr="00330B88" w:rsidRDefault="00E257DE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systèmes informatisés sont sécurisés, sauvegardés et protégés contre toute perte de données.</w:t>
            </w:r>
          </w:p>
        </w:tc>
        <w:tc>
          <w:tcPr>
            <w:tcW w:w="851" w:type="dxa"/>
            <w:vAlign w:val="center"/>
          </w:tcPr>
          <w:p w14:paraId="534E4B2C" w14:textId="77777777" w:rsidR="00E257DE" w:rsidRDefault="00E257DE" w:rsidP="0040465B">
            <w:r>
              <w:t xml:space="preserve">☐ Oui   </w:t>
            </w:r>
          </w:p>
          <w:p w14:paraId="2F0BFEA7" w14:textId="1AC00360" w:rsidR="00E257DE" w:rsidRDefault="00E257DE" w:rsidP="0040465B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53A9EBCF" w14:textId="77777777" w:rsidR="00E257DE" w:rsidRDefault="00E257DE" w:rsidP="0040465B"/>
        </w:tc>
      </w:tr>
      <w:tr w:rsidR="00E257DE" w14:paraId="17C1BC37" w14:textId="38C83B7E" w:rsidTr="00B67FD8">
        <w:tc>
          <w:tcPr>
            <w:tcW w:w="4962" w:type="dxa"/>
            <w:vAlign w:val="center"/>
          </w:tcPr>
          <w:p w14:paraId="6415FAC4" w14:textId="77777777" w:rsidR="00E257DE" w:rsidRPr="00330B88" w:rsidRDefault="00E257DE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Des procédures existent pour la reprise d’activité en cas de panne du système informatique.</w:t>
            </w:r>
          </w:p>
        </w:tc>
        <w:tc>
          <w:tcPr>
            <w:tcW w:w="851" w:type="dxa"/>
            <w:vAlign w:val="center"/>
          </w:tcPr>
          <w:p w14:paraId="7F503B05" w14:textId="77777777" w:rsidR="00E257DE" w:rsidRDefault="00E257DE" w:rsidP="0040465B">
            <w:r>
              <w:t xml:space="preserve">☐ Oui   </w:t>
            </w:r>
          </w:p>
          <w:p w14:paraId="3A422CE9" w14:textId="7DA6B3E4" w:rsidR="00E257DE" w:rsidRDefault="00E257DE" w:rsidP="0040465B">
            <w:r>
              <w:t xml:space="preserve">☐ Non   </w:t>
            </w:r>
          </w:p>
        </w:tc>
        <w:tc>
          <w:tcPr>
            <w:tcW w:w="4536" w:type="dxa"/>
            <w:vAlign w:val="center"/>
          </w:tcPr>
          <w:p w14:paraId="749F1BB3" w14:textId="77777777" w:rsidR="00E257DE" w:rsidRDefault="00E257DE" w:rsidP="0040465B"/>
        </w:tc>
      </w:tr>
    </w:tbl>
    <w:p w14:paraId="6FEECAF6" w14:textId="77777777" w:rsidR="00833FE8" w:rsidRDefault="00833FE8" w:rsidP="00833FE8"/>
    <w:p w14:paraId="76A7D6BB" w14:textId="77777777" w:rsidR="00F95C30" w:rsidRPr="00833FE8" w:rsidRDefault="00F95C30" w:rsidP="00833FE8"/>
    <w:p w14:paraId="02E6A678" w14:textId="22F634B2" w:rsidR="00B6727F" w:rsidRDefault="0001030C" w:rsidP="00833FE8">
      <w:pPr>
        <w:pStyle w:val="Heading2"/>
        <w:numPr>
          <w:ilvl w:val="0"/>
          <w:numId w:val="10"/>
        </w:numPr>
      </w:pPr>
      <w:r>
        <w:lastRenderedPageBreak/>
        <w:t xml:space="preserve">Documentation et </w:t>
      </w:r>
      <w:proofErr w:type="spellStart"/>
      <w:r w:rsidR="0040465B">
        <w:t>r</w:t>
      </w:r>
      <w:r>
        <w:t>egistres</w:t>
      </w:r>
      <w:proofErr w:type="spellEnd"/>
    </w:p>
    <w:p w14:paraId="2013DCBE" w14:textId="77777777" w:rsidR="00D862C5" w:rsidRPr="00D862C5" w:rsidRDefault="00D862C5" w:rsidP="00D862C5">
      <w:pPr>
        <w:pStyle w:val="ListParagraph"/>
      </w:pPr>
    </w:p>
    <w:tbl>
      <w:tblPr>
        <w:tblStyle w:val="TableGrid"/>
        <w:tblW w:w="10207" w:type="dxa"/>
        <w:tblInd w:w="-885" w:type="dxa"/>
        <w:tblLook w:val="04A0" w:firstRow="1" w:lastRow="0" w:firstColumn="1" w:lastColumn="0" w:noHBand="0" w:noVBand="1"/>
      </w:tblPr>
      <w:tblGrid>
        <w:gridCol w:w="4679"/>
        <w:gridCol w:w="850"/>
        <w:gridCol w:w="4678"/>
      </w:tblGrid>
      <w:tr w:rsidR="00DA7A10" w14:paraId="56996923" w14:textId="2225EB69" w:rsidTr="00B67FD8">
        <w:tc>
          <w:tcPr>
            <w:tcW w:w="4679" w:type="dxa"/>
            <w:vAlign w:val="center"/>
          </w:tcPr>
          <w:p w14:paraId="658D0276" w14:textId="77777777" w:rsidR="00DA7A10" w:rsidRPr="00330B88" w:rsidRDefault="00DA7A10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La documentation est validée, signée, datée et facilement accessible.</w:t>
            </w:r>
          </w:p>
        </w:tc>
        <w:tc>
          <w:tcPr>
            <w:tcW w:w="850" w:type="dxa"/>
            <w:vAlign w:val="center"/>
          </w:tcPr>
          <w:p w14:paraId="2DB83FFB" w14:textId="77777777" w:rsidR="00DA7A10" w:rsidRDefault="00DA7A10" w:rsidP="0040465B">
            <w:r>
              <w:t xml:space="preserve">☐ Oui   </w:t>
            </w:r>
          </w:p>
          <w:p w14:paraId="6DA463E6" w14:textId="43F51F22" w:rsidR="00DA7A10" w:rsidRDefault="00DA7A10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23C4E001" w14:textId="77777777" w:rsidR="00DA7A10" w:rsidRDefault="00DA7A10" w:rsidP="0040465B"/>
        </w:tc>
      </w:tr>
      <w:tr w:rsidR="00DA7A10" w14:paraId="503E762E" w14:textId="52D25D6E" w:rsidTr="00B67FD8">
        <w:tc>
          <w:tcPr>
            <w:tcW w:w="4679" w:type="dxa"/>
            <w:vAlign w:val="center"/>
          </w:tcPr>
          <w:p w14:paraId="566343D9" w14:textId="77777777" w:rsidR="00DA7A10" w:rsidRPr="00330B88" w:rsidRDefault="00DA7A10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procédures couvrent toutes les étapes de la distribution et du stockage.</w:t>
            </w:r>
          </w:p>
        </w:tc>
        <w:tc>
          <w:tcPr>
            <w:tcW w:w="850" w:type="dxa"/>
            <w:vAlign w:val="center"/>
          </w:tcPr>
          <w:p w14:paraId="66E60D9A" w14:textId="77777777" w:rsidR="00DA7A10" w:rsidRDefault="00DA7A10" w:rsidP="0040465B">
            <w:r>
              <w:t xml:space="preserve">☐ Oui   </w:t>
            </w:r>
          </w:p>
          <w:p w14:paraId="392EB765" w14:textId="107B57DA" w:rsidR="00DA7A10" w:rsidRDefault="00DA7A10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6B572158" w14:textId="77777777" w:rsidR="00DA7A10" w:rsidRDefault="00DA7A10" w:rsidP="0040465B"/>
        </w:tc>
      </w:tr>
      <w:tr w:rsidR="00DA7A10" w14:paraId="5E822D9B" w14:textId="08A72BC0" w:rsidTr="00B67FD8">
        <w:tc>
          <w:tcPr>
            <w:tcW w:w="4679" w:type="dxa"/>
            <w:vAlign w:val="center"/>
          </w:tcPr>
          <w:p w14:paraId="0748B069" w14:textId="77777777" w:rsidR="00DA7A10" w:rsidRPr="00330B88" w:rsidRDefault="00DA7A10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registres sont complets, lisibles et conservés au moins cinq ans.</w:t>
            </w:r>
          </w:p>
        </w:tc>
        <w:tc>
          <w:tcPr>
            <w:tcW w:w="850" w:type="dxa"/>
            <w:vAlign w:val="center"/>
          </w:tcPr>
          <w:p w14:paraId="223797D7" w14:textId="77777777" w:rsidR="00DA7A10" w:rsidRDefault="00DA7A10" w:rsidP="0040465B">
            <w:r>
              <w:t xml:space="preserve">☐ Oui   </w:t>
            </w:r>
          </w:p>
          <w:p w14:paraId="0AA45CA0" w14:textId="22A4AAC2" w:rsidR="00DA7A10" w:rsidRDefault="00DA7A10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1046251E" w14:textId="77777777" w:rsidR="00DA7A10" w:rsidRDefault="00DA7A10" w:rsidP="0040465B"/>
        </w:tc>
      </w:tr>
      <w:tr w:rsidR="00DA7A10" w14:paraId="153DB1C0" w14:textId="6E0AA47F" w:rsidTr="00B67FD8">
        <w:tc>
          <w:tcPr>
            <w:tcW w:w="4679" w:type="dxa"/>
            <w:vAlign w:val="center"/>
          </w:tcPr>
          <w:p w14:paraId="431C7816" w14:textId="77777777" w:rsidR="00DA7A10" w:rsidRPr="00330B88" w:rsidRDefault="00DA7A10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La gestion des données personnelles respecte les exigences de confidentialité et de suppression.</w:t>
            </w:r>
          </w:p>
        </w:tc>
        <w:tc>
          <w:tcPr>
            <w:tcW w:w="850" w:type="dxa"/>
            <w:vAlign w:val="center"/>
          </w:tcPr>
          <w:p w14:paraId="38292046" w14:textId="77777777" w:rsidR="00DA7A10" w:rsidRDefault="00DA7A10" w:rsidP="0040465B">
            <w:r>
              <w:t xml:space="preserve">☐ Oui   </w:t>
            </w:r>
          </w:p>
          <w:p w14:paraId="3637C999" w14:textId="49C8D1E5" w:rsidR="00DA7A10" w:rsidRDefault="00DA7A10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2955899C" w14:textId="77777777" w:rsidR="00DA7A10" w:rsidRDefault="00DA7A10" w:rsidP="0040465B"/>
        </w:tc>
      </w:tr>
    </w:tbl>
    <w:p w14:paraId="7AD8CAF1" w14:textId="77777777" w:rsidR="00B6727F" w:rsidRDefault="00B6727F"/>
    <w:p w14:paraId="62219246" w14:textId="78381C9D" w:rsidR="00D862C5" w:rsidRDefault="0001030C" w:rsidP="00833FE8">
      <w:pPr>
        <w:pStyle w:val="Heading2"/>
        <w:numPr>
          <w:ilvl w:val="0"/>
          <w:numId w:val="10"/>
        </w:numPr>
      </w:pPr>
      <w:proofErr w:type="spellStart"/>
      <w:r>
        <w:t>Opérations</w:t>
      </w:r>
      <w:proofErr w:type="spellEnd"/>
    </w:p>
    <w:p w14:paraId="73FCB7CC" w14:textId="77777777" w:rsidR="00D862C5" w:rsidRPr="00D862C5" w:rsidRDefault="00D862C5" w:rsidP="00D862C5"/>
    <w:tbl>
      <w:tblPr>
        <w:tblStyle w:val="TableGrid"/>
        <w:tblW w:w="10207" w:type="dxa"/>
        <w:tblInd w:w="-885" w:type="dxa"/>
        <w:tblLook w:val="04A0" w:firstRow="1" w:lastRow="0" w:firstColumn="1" w:lastColumn="0" w:noHBand="0" w:noVBand="1"/>
      </w:tblPr>
      <w:tblGrid>
        <w:gridCol w:w="4679"/>
        <w:gridCol w:w="850"/>
        <w:gridCol w:w="4678"/>
      </w:tblGrid>
      <w:tr w:rsidR="00D862C5" w14:paraId="072AE431" w14:textId="69F73F97" w:rsidTr="00B67FD8">
        <w:tc>
          <w:tcPr>
            <w:tcW w:w="4679" w:type="dxa"/>
            <w:vAlign w:val="center"/>
          </w:tcPr>
          <w:p w14:paraId="7EFB1199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Tous les médicaments distribués disposent d’une autorisation ou d’un enregistrement en vigueur.</w:t>
            </w:r>
          </w:p>
        </w:tc>
        <w:tc>
          <w:tcPr>
            <w:tcW w:w="850" w:type="dxa"/>
            <w:vAlign w:val="center"/>
          </w:tcPr>
          <w:p w14:paraId="3D0FD321" w14:textId="77777777" w:rsidR="00D862C5" w:rsidRDefault="00D862C5" w:rsidP="0040465B">
            <w:r>
              <w:t xml:space="preserve">☐ Oui   </w:t>
            </w:r>
          </w:p>
          <w:p w14:paraId="00DF0762" w14:textId="1CC7EE5B" w:rsidR="00D862C5" w:rsidRDefault="00D862C5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4D4F8508" w14:textId="77777777" w:rsidR="00D862C5" w:rsidRDefault="00D862C5" w:rsidP="0040465B"/>
        </w:tc>
      </w:tr>
      <w:tr w:rsidR="00D862C5" w14:paraId="7CDF635F" w14:textId="7EAF6370" w:rsidTr="00B67FD8">
        <w:tc>
          <w:tcPr>
            <w:tcW w:w="4679" w:type="dxa"/>
            <w:vAlign w:val="center"/>
          </w:tcPr>
          <w:p w14:paraId="1380D803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fournisseurs sont vérifiés et qualifiés selon les bonnes pratiques de distribution.</w:t>
            </w:r>
          </w:p>
        </w:tc>
        <w:tc>
          <w:tcPr>
            <w:tcW w:w="850" w:type="dxa"/>
            <w:vAlign w:val="center"/>
          </w:tcPr>
          <w:p w14:paraId="20A8AFD2" w14:textId="77777777" w:rsidR="00D862C5" w:rsidRDefault="00D862C5" w:rsidP="0040465B">
            <w:r>
              <w:t xml:space="preserve">☐ Oui   </w:t>
            </w:r>
          </w:p>
          <w:p w14:paraId="50EBB083" w14:textId="23236A10" w:rsidR="00D862C5" w:rsidRDefault="00D862C5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2986B03B" w14:textId="77777777" w:rsidR="00D862C5" w:rsidRDefault="00D862C5" w:rsidP="0040465B"/>
        </w:tc>
      </w:tr>
      <w:tr w:rsidR="00D862C5" w14:paraId="2C736202" w14:textId="2F239AAE" w:rsidTr="00B67FD8">
        <w:tc>
          <w:tcPr>
            <w:tcW w:w="4679" w:type="dxa"/>
            <w:vAlign w:val="center"/>
          </w:tcPr>
          <w:p w14:paraId="20F42A80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clients sont agréés et leurs autorisations sont vérifiées régulièrement.</w:t>
            </w:r>
          </w:p>
        </w:tc>
        <w:tc>
          <w:tcPr>
            <w:tcW w:w="850" w:type="dxa"/>
            <w:vAlign w:val="center"/>
          </w:tcPr>
          <w:p w14:paraId="4A6F7204" w14:textId="77777777" w:rsidR="00D862C5" w:rsidRDefault="00D862C5" w:rsidP="0040465B">
            <w:r>
              <w:t xml:space="preserve">☐ Oui   </w:t>
            </w:r>
          </w:p>
          <w:p w14:paraId="520F350F" w14:textId="026DD420" w:rsidR="00D862C5" w:rsidRDefault="00D862C5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03F1D77C" w14:textId="77777777" w:rsidR="00D862C5" w:rsidRDefault="00D862C5" w:rsidP="0040465B"/>
        </w:tc>
      </w:tr>
      <w:tr w:rsidR="00D862C5" w14:paraId="09AA13EF" w14:textId="6FE47474" w:rsidTr="00B67FD8">
        <w:tc>
          <w:tcPr>
            <w:tcW w:w="4679" w:type="dxa"/>
            <w:vAlign w:val="center"/>
          </w:tcPr>
          <w:p w14:paraId="6183AD3B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produits reçus sont contrôlés avant mise en stock.</w:t>
            </w:r>
          </w:p>
        </w:tc>
        <w:tc>
          <w:tcPr>
            <w:tcW w:w="850" w:type="dxa"/>
            <w:vAlign w:val="center"/>
          </w:tcPr>
          <w:p w14:paraId="36DC7638" w14:textId="77777777" w:rsidR="00D862C5" w:rsidRDefault="00D862C5" w:rsidP="0040465B">
            <w:r>
              <w:t xml:space="preserve">☐ Oui   </w:t>
            </w:r>
          </w:p>
          <w:p w14:paraId="1399ADB7" w14:textId="3075EB9B" w:rsidR="00D862C5" w:rsidRDefault="00D862C5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2A548020" w14:textId="77777777" w:rsidR="00D862C5" w:rsidRDefault="00D862C5" w:rsidP="0040465B"/>
        </w:tc>
      </w:tr>
      <w:tr w:rsidR="00D862C5" w14:paraId="223E4962" w14:textId="06C41A61" w:rsidTr="00B67FD8">
        <w:tc>
          <w:tcPr>
            <w:tcW w:w="4679" w:type="dxa"/>
            <w:vAlign w:val="center"/>
          </w:tcPr>
          <w:p w14:paraId="5CCB721E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Une procédure encadre la destruction des produits périmés ou non conformes.</w:t>
            </w:r>
          </w:p>
        </w:tc>
        <w:tc>
          <w:tcPr>
            <w:tcW w:w="850" w:type="dxa"/>
            <w:vAlign w:val="center"/>
          </w:tcPr>
          <w:p w14:paraId="7A8EF939" w14:textId="77777777" w:rsidR="00D862C5" w:rsidRDefault="00D862C5" w:rsidP="0040465B">
            <w:r>
              <w:t xml:space="preserve">☐ Oui   </w:t>
            </w:r>
          </w:p>
          <w:p w14:paraId="03E5CEE1" w14:textId="42B0252D" w:rsidR="00D862C5" w:rsidRDefault="00D862C5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2C34AB0B" w14:textId="77777777" w:rsidR="00D862C5" w:rsidRDefault="00D862C5" w:rsidP="0040465B"/>
        </w:tc>
      </w:tr>
      <w:tr w:rsidR="00D862C5" w14:paraId="602A9FC6" w14:textId="7B929A7C" w:rsidTr="00B67FD8">
        <w:tc>
          <w:tcPr>
            <w:tcW w:w="4679" w:type="dxa"/>
            <w:vAlign w:val="center"/>
          </w:tcPr>
          <w:p w14:paraId="4A91FE8E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La traçabilité est garantie pour chaque lot de médicament distribué.</w:t>
            </w:r>
          </w:p>
        </w:tc>
        <w:tc>
          <w:tcPr>
            <w:tcW w:w="850" w:type="dxa"/>
            <w:vAlign w:val="center"/>
          </w:tcPr>
          <w:p w14:paraId="342518ED" w14:textId="77777777" w:rsidR="00D862C5" w:rsidRDefault="00D862C5" w:rsidP="0040465B">
            <w:r>
              <w:t xml:space="preserve">☐ Oui   </w:t>
            </w:r>
          </w:p>
          <w:p w14:paraId="5DDF7223" w14:textId="59FC03A8" w:rsidR="00D862C5" w:rsidRDefault="00D862C5" w:rsidP="0040465B">
            <w:r>
              <w:t xml:space="preserve">☐ Non   </w:t>
            </w:r>
          </w:p>
        </w:tc>
        <w:tc>
          <w:tcPr>
            <w:tcW w:w="4678" w:type="dxa"/>
            <w:vAlign w:val="center"/>
          </w:tcPr>
          <w:p w14:paraId="423D90EA" w14:textId="77777777" w:rsidR="00D862C5" w:rsidRDefault="00D862C5" w:rsidP="0040465B"/>
        </w:tc>
      </w:tr>
    </w:tbl>
    <w:p w14:paraId="5E4060D2" w14:textId="77777777" w:rsidR="00B6727F" w:rsidRDefault="00B6727F"/>
    <w:p w14:paraId="66CF35B9" w14:textId="235830B0" w:rsidR="00B6727F" w:rsidRDefault="0001030C" w:rsidP="00833FE8">
      <w:pPr>
        <w:pStyle w:val="Heading2"/>
        <w:numPr>
          <w:ilvl w:val="0"/>
          <w:numId w:val="10"/>
        </w:numPr>
      </w:pPr>
      <w:proofErr w:type="spellStart"/>
      <w:r>
        <w:t>Réclamations</w:t>
      </w:r>
      <w:proofErr w:type="spellEnd"/>
      <w:r>
        <w:t xml:space="preserve">, </w:t>
      </w:r>
      <w:r w:rsidR="0040465B">
        <w:t>r</w:t>
      </w:r>
      <w:r>
        <w:t xml:space="preserve">etours et </w:t>
      </w:r>
      <w:r w:rsidR="0040465B">
        <w:t>r</w:t>
      </w:r>
      <w:r>
        <w:t>appels</w:t>
      </w:r>
    </w:p>
    <w:p w14:paraId="70B0E441" w14:textId="77777777" w:rsidR="00D862C5" w:rsidRPr="00D862C5" w:rsidRDefault="00D862C5" w:rsidP="00D862C5"/>
    <w:tbl>
      <w:tblPr>
        <w:tblStyle w:val="TableGrid"/>
        <w:tblW w:w="10207" w:type="dxa"/>
        <w:tblInd w:w="-885" w:type="dxa"/>
        <w:tblLook w:val="04A0" w:firstRow="1" w:lastRow="0" w:firstColumn="1" w:lastColumn="0" w:noHBand="0" w:noVBand="1"/>
      </w:tblPr>
      <w:tblGrid>
        <w:gridCol w:w="4537"/>
        <w:gridCol w:w="851"/>
        <w:gridCol w:w="4819"/>
      </w:tblGrid>
      <w:tr w:rsidR="00D862C5" w14:paraId="32E507FB" w14:textId="5885D596" w:rsidTr="00B67FD8">
        <w:tc>
          <w:tcPr>
            <w:tcW w:w="4537" w:type="dxa"/>
            <w:vAlign w:val="center"/>
          </w:tcPr>
          <w:p w14:paraId="364CE774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Une procédure documentée permet la gestion des réclamations qualité.</w:t>
            </w:r>
          </w:p>
        </w:tc>
        <w:tc>
          <w:tcPr>
            <w:tcW w:w="851" w:type="dxa"/>
            <w:vAlign w:val="center"/>
          </w:tcPr>
          <w:p w14:paraId="6440572E" w14:textId="77777777" w:rsidR="00D862C5" w:rsidRDefault="00D862C5" w:rsidP="0040465B">
            <w:r>
              <w:t xml:space="preserve">☐ Oui   </w:t>
            </w:r>
          </w:p>
          <w:p w14:paraId="3F582089" w14:textId="0E3A0E39" w:rsidR="00D862C5" w:rsidRDefault="00D862C5" w:rsidP="0040465B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215FCC7C" w14:textId="77777777" w:rsidR="00D862C5" w:rsidRDefault="00D862C5" w:rsidP="0040465B"/>
        </w:tc>
      </w:tr>
      <w:tr w:rsidR="00D862C5" w14:paraId="79D2C4E1" w14:textId="73348796" w:rsidTr="00B67FD8">
        <w:tc>
          <w:tcPr>
            <w:tcW w:w="4537" w:type="dxa"/>
            <w:vAlign w:val="center"/>
          </w:tcPr>
          <w:p w14:paraId="176FE45B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Une personne responsable du traitement des réclamations est désignée.</w:t>
            </w:r>
          </w:p>
        </w:tc>
        <w:tc>
          <w:tcPr>
            <w:tcW w:w="851" w:type="dxa"/>
            <w:vAlign w:val="center"/>
          </w:tcPr>
          <w:p w14:paraId="7F8EE466" w14:textId="77777777" w:rsidR="00D862C5" w:rsidRDefault="00D862C5" w:rsidP="0040465B">
            <w:r>
              <w:t xml:space="preserve">☐ Oui   </w:t>
            </w:r>
          </w:p>
          <w:p w14:paraId="3A982511" w14:textId="135D5B93" w:rsidR="00D862C5" w:rsidRDefault="00D862C5" w:rsidP="0040465B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41427DD4" w14:textId="77777777" w:rsidR="00D862C5" w:rsidRDefault="00D862C5" w:rsidP="0040465B"/>
        </w:tc>
      </w:tr>
      <w:tr w:rsidR="00D862C5" w14:paraId="396EBD9C" w14:textId="2EE1FD11" w:rsidTr="00B67FD8">
        <w:tc>
          <w:tcPr>
            <w:tcW w:w="4537" w:type="dxa"/>
            <w:vAlign w:val="center"/>
          </w:tcPr>
          <w:p w14:paraId="25D7E56C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retours de produits sont gérés selon des procédures validées.</w:t>
            </w:r>
          </w:p>
        </w:tc>
        <w:tc>
          <w:tcPr>
            <w:tcW w:w="851" w:type="dxa"/>
            <w:vAlign w:val="center"/>
          </w:tcPr>
          <w:p w14:paraId="693998D4" w14:textId="77777777" w:rsidR="00D862C5" w:rsidRDefault="00D862C5" w:rsidP="0040465B">
            <w:r>
              <w:t xml:space="preserve">☐ Oui   </w:t>
            </w:r>
          </w:p>
          <w:p w14:paraId="66893979" w14:textId="27DD20A1" w:rsidR="00D862C5" w:rsidRDefault="00D862C5" w:rsidP="0040465B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2EB640DB" w14:textId="77777777" w:rsidR="00D862C5" w:rsidRDefault="00D862C5" w:rsidP="0040465B"/>
        </w:tc>
      </w:tr>
      <w:tr w:rsidR="00D862C5" w14:paraId="6B93A241" w14:textId="20E2D692" w:rsidTr="00B67FD8">
        <w:tc>
          <w:tcPr>
            <w:tcW w:w="4537" w:type="dxa"/>
            <w:vAlign w:val="center"/>
          </w:tcPr>
          <w:p w14:paraId="686CDDAA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Les produits falsifiés sont isolés et retirés de la chaîne d’approvisionnement.</w:t>
            </w:r>
          </w:p>
        </w:tc>
        <w:tc>
          <w:tcPr>
            <w:tcW w:w="851" w:type="dxa"/>
            <w:vAlign w:val="center"/>
          </w:tcPr>
          <w:p w14:paraId="262A7704" w14:textId="77777777" w:rsidR="00D862C5" w:rsidRDefault="00D862C5" w:rsidP="0040465B">
            <w:r>
              <w:t xml:space="preserve">☐ Oui   </w:t>
            </w:r>
          </w:p>
          <w:p w14:paraId="3380B45A" w14:textId="61A8DCC6" w:rsidR="00D862C5" w:rsidRDefault="00D862C5" w:rsidP="0040465B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394E5DAE" w14:textId="77777777" w:rsidR="00D862C5" w:rsidRDefault="00D862C5" w:rsidP="0040465B"/>
        </w:tc>
      </w:tr>
      <w:tr w:rsidR="00D862C5" w14:paraId="58262652" w14:textId="0E6CB05C" w:rsidTr="00B67FD8">
        <w:tc>
          <w:tcPr>
            <w:tcW w:w="4537" w:type="dxa"/>
            <w:vAlign w:val="center"/>
          </w:tcPr>
          <w:p w14:paraId="19C49558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t>Un plan de rappel est établi, testé et mis à jour régulièrement.</w:t>
            </w:r>
          </w:p>
        </w:tc>
        <w:tc>
          <w:tcPr>
            <w:tcW w:w="851" w:type="dxa"/>
            <w:vAlign w:val="center"/>
          </w:tcPr>
          <w:p w14:paraId="056245E6" w14:textId="77777777" w:rsidR="00D862C5" w:rsidRDefault="00D862C5" w:rsidP="0040465B">
            <w:r>
              <w:t xml:space="preserve">☐ Oui   </w:t>
            </w:r>
          </w:p>
          <w:p w14:paraId="25A22304" w14:textId="46249B2F" w:rsidR="00D862C5" w:rsidRDefault="00D862C5" w:rsidP="0040465B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7AB66C38" w14:textId="77777777" w:rsidR="00D862C5" w:rsidRDefault="00D862C5" w:rsidP="0040465B"/>
        </w:tc>
      </w:tr>
      <w:tr w:rsidR="00D862C5" w14:paraId="10FB0C52" w14:textId="4362A664" w:rsidTr="00B67FD8">
        <w:tc>
          <w:tcPr>
            <w:tcW w:w="4537" w:type="dxa"/>
            <w:vAlign w:val="center"/>
          </w:tcPr>
          <w:p w14:paraId="4A98F7C6" w14:textId="77777777" w:rsidR="00D862C5" w:rsidRPr="00330B88" w:rsidRDefault="00D862C5" w:rsidP="0040465B">
            <w:pPr>
              <w:rPr>
                <w:lang w:val="fr-FR"/>
              </w:rPr>
            </w:pPr>
            <w:r w:rsidRPr="00330B88">
              <w:rPr>
                <w:lang w:val="fr-FR"/>
              </w:rPr>
              <w:lastRenderedPageBreak/>
              <w:t>Les enregistrements de rappels et les rapports de suivi sont archivés.</w:t>
            </w:r>
          </w:p>
        </w:tc>
        <w:tc>
          <w:tcPr>
            <w:tcW w:w="851" w:type="dxa"/>
            <w:vAlign w:val="center"/>
          </w:tcPr>
          <w:p w14:paraId="3FDC575C" w14:textId="77777777" w:rsidR="00D862C5" w:rsidRDefault="00D862C5" w:rsidP="0040465B">
            <w:r>
              <w:t xml:space="preserve">☐ Oui   </w:t>
            </w:r>
          </w:p>
          <w:p w14:paraId="6966348E" w14:textId="26204AA5" w:rsidR="00D862C5" w:rsidRDefault="00D862C5" w:rsidP="0040465B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3A962285" w14:textId="77777777" w:rsidR="00D862C5" w:rsidRDefault="00D862C5" w:rsidP="0040465B"/>
        </w:tc>
      </w:tr>
    </w:tbl>
    <w:p w14:paraId="0A146C60" w14:textId="77777777" w:rsidR="00B6727F" w:rsidRDefault="00B6727F"/>
    <w:p w14:paraId="3EB2847B" w14:textId="2F8423D4" w:rsidR="0062598A" w:rsidRDefault="0001030C" w:rsidP="00833FE8">
      <w:pPr>
        <w:pStyle w:val="Heading2"/>
        <w:numPr>
          <w:ilvl w:val="0"/>
          <w:numId w:val="10"/>
        </w:numPr>
      </w:pPr>
      <w:proofErr w:type="spellStart"/>
      <w:r>
        <w:t>Activités</w:t>
      </w:r>
      <w:proofErr w:type="spellEnd"/>
      <w:r>
        <w:t xml:space="preserve"> </w:t>
      </w:r>
      <w:proofErr w:type="spellStart"/>
      <w:r w:rsidR="0040465B">
        <w:t>e</w:t>
      </w:r>
      <w:r>
        <w:t>xternalisées</w:t>
      </w:r>
      <w:proofErr w:type="spellEnd"/>
    </w:p>
    <w:tbl>
      <w:tblPr>
        <w:tblStyle w:val="TableGrid"/>
        <w:tblpPr w:leftFromText="141" w:rightFromText="141" w:vertAnchor="text" w:horzAnchor="margin" w:tblpX="-885" w:tblpY="323"/>
        <w:tblW w:w="10314" w:type="dxa"/>
        <w:tblLook w:val="04A0" w:firstRow="1" w:lastRow="0" w:firstColumn="1" w:lastColumn="0" w:noHBand="0" w:noVBand="1"/>
      </w:tblPr>
      <w:tblGrid>
        <w:gridCol w:w="4503"/>
        <w:gridCol w:w="850"/>
        <w:gridCol w:w="4961"/>
      </w:tblGrid>
      <w:tr w:rsidR="00FC64C0" w14:paraId="5D9CC368" w14:textId="77777777" w:rsidTr="00B67FD8">
        <w:tc>
          <w:tcPr>
            <w:tcW w:w="4503" w:type="dxa"/>
            <w:vAlign w:val="center"/>
          </w:tcPr>
          <w:p w14:paraId="7821E927" w14:textId="77777777" w:rsidR="00FC64C0" w:rsidRPr="00330B88" w:rsidRDefault="00FC64C0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Les contrats couvrant les activités externalisées sont disponibles et signés.</w:t>
            </w:r>
          </w:p>
        </w:tc>
        <w:tc>
          <w:tcPr>
            <w:tcW w:w="850" w:type="dxa"/>
            <w:vAlign w:val="center"/>
          </w:tcPr>
          <w:p w14:paraId="47FA846A" w14:textId="77777777" w:rsidR="00FC64C0" w:rsidRDefault="00FC64C0" w:rsidP="00B67FD8">
            <w:r>
              <w:t xml:space="preserve">☐ Oui   </w:t>
            </w:r>
          </w:p>
          <w:p w14:paraId="70B6AB19" w14:textId="77777777" w:rsidR="00FC64C0" w:rsidRDefault="00FC64C0" w:rsidP="00B67FD8">
            <w:r>
              <w:t xml:space="preserve">☐ Non   </w:t>
            </w:r>
          </w:p>
        </w:tc>
        <w:tc>
          <w:tcPr>
            <w:tcW w:w="4961" w:type="dxa"/>
            <w:vAlign w:val="center"/>
          </w:tcPr>
          <w:p w14:paraId="2ACEE10F" w14:textId="77777777" w:rsidR="00FC64C0" w:rsidRDefault="00FC64C0" w:rsidP="00B67FD8"/>
        </w:tc>
      </w:tr>
      <w:tr w:rsidR="00FC64C0" w14:paraId="608ED316" w14:textId="77777777" w:rsidTr="00B67FD8">
        <w:tc>
          <w:tcPr>
            <w:tcW w:w="4503" w:type="dxa"/>
            <w:vAlign w:val="center"/>
          </w:tcPr>
          <w:p w14:paraId="62014725" w14:textId="77777777" w:rsidR="00FC64C0" w:rsidRPr="00330B88" w:rsidRDefault="00FC64C0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Les exigences réglementaires sont respectées dans chaque contrat.</w:t>
            </w:r>
          </w:p>
        </w:tc>
        <w:tc>
          <w:tcPr>
            <w:tcW w:w="850" w:type="dxa"/>
            <w:vAlign w:val="center"/>
          </w:tcPr>
          <w:p w14:paraId="66133287" w14:textId="77777777" w:rsidR="00FC64C0" w:rsidRDefault="00FC64C0" w:rsidP="00B67FD8">
            <w:r>
              <w:t xml:space="preserve">☐ Oui   </w:t>
            </w:r>
          </w:p>
          <w:p w14:paraId="098647F4" w14:textId="77777777" w:rsidR="00FC64C0" w:rsidRDefault="00FC64C0" w:rsidP="00B67FD8">
            <w:r>
              <w:t xml:space="preserve">☐ Non  </w:t>
            </w:r>
          </w:p>
        </w:tc>
        <w:tc>
          <w:tcPr>
            <w:tcW w:w="4961" w:type="dxa"/>
            <w:vAlign w:val="center"/>
          </w:tcPr>
          <w:p w14:paraId="7F83061F" w14:textId="77777777" w:rsidR="00FC64C0" w:rsidRDefault="00FC64C0" w:rsidP="00B67FD8"/>
        </w:tc>
      </w:tr>
      <w:tr w:rsidR="00FC64C0" w14:paraId="3A057E61" w14:textId="77777777" w:rsidTr="00B67FD8">
        <w:tc>
          <w:tcPr>
            <w:tcW w:w="4503" w:type="dxa"/>
            <w:vAlign w:val="center"/>
          </w:tcPr>
          <w:p w14:paraId="6244EEB2" w14:textId="77777777" w:rsidR="00FC64C0" w:rsidRPr="00330B88" w:rsidRDefault="00FC64C0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Les sous-traitants sont suivis, évalués et audités périodiquement.</w:t>
            </w:r>
          </w:p>
        </w:tc>
        <w:tc>
          <w:tcPr>
            <w:tcW w:w="850" w:type="dxa"/>
            <w:vAlign w:val="center"/>
          </w:tcPr>
          <w:p w14:paraId="09861E99" w14:textId="77777777" w:rsidR="00FC64C0" w:rsidRDefault="00FC64C0" w:rsidP="00B67FD8">
            <w:r>
              <w:t xml:space="preserve">☐ Oui   </w:t>
            </w:r>
          </w:p>
          <w:p w14:paraId="795097B0" w14:textId="77777777" w:rsidR="00FC64C0" w:rsidRDefault="00FC64C0" w:rsidP="00B67FD8">
            <w:r>
              <w:t xml:space="preserve">☐ Non   </w:t>
            </w:r>
          </w:p>
        </w:tc>
        <w:tc>
          <w:tcPr>
            <w:tcW w:w="4961" w:type="dxa"/>
            <w:vAlign w:val="center"/>
          </w:tcPr>
          <w:p w14:paraId="23D83F6A" w14:textId="77777777" w:rsidR="00FC64C0" w:rsidRDefault="00FC64C0" w:rsidP="00B67FD8"/>
        </w:tc>
      </w:tr>
    </w:tbl>
    <w:p w14:paraId="519FA643" w14:textId="77777777" w:rsidR="00B6727F" w:rsidRDefault="00B6727F"/>
    <w:p w14:paraId="74BA333A" w14:textId="3D858984" w:rsidR="00B6727F" w:rsidRDefault="0001030C" w:rsidP="00833FE8">
      <w:pPr>
        <w:pStyle w:val="Heading2"/>
        <w:numPr>
          <w:ilvl w:val="0"/>
          <w:numId w:val="10"/>
        </w:numPr>
      </w:pPr>
      <w:r>
        <w:t>Auto-</w:t>
      </w:r>
      <w:r w:rsidR="00D27238">
        <w:t>i</w:t>
      </w:r>
      <w:r>
        <w:t>nspections</w:t>
      </w:r>
    </w:p>
    <w:tbl>
      <w:tblPr>
        <w:tblStyle w:val="TableGrid"/>
        <w:tblpPr w:leftFromText="141" w:rightFromText="141" w:vertAnchor="text" w:tblpX="-885" w:tblpY="356"/>
        <w:tblW w:w="10314" w:type="dxa"/>
        <w:tblLook w:val="04A0" w:firstRow="1" w:lastRow="0" w:firstColumn="1" w:lastColumn="0" w:noHBand="0" w:noVBand="1"/>
      </w:tblPr>
      <w:tblGrid>
        <w:gridCol w:w="4644"/>
        <w:gridCol w:w="851"/>
        <w:gridCol w:w="4819"/>
      </w:tblGrid>
      <w:tr w:rsidR="00D27238" w14:paraId="4AE6553C" w14:textId="77777777" w:rsidTr="00B67FD8">
        <w:tc>
          <w:tcPr>
            <w:tcW w:w="4644" w:type="dxa"/>
            <w:vAlign w:val="center"/>
          </w:tcPr>
          <w:p w14:paraId="4E6130F0" w14:textId="77777777" w:rsidR="00D27238" w:rsidRPr="00330B88" w:rsidRDefault="00D27238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Un programme d’auto-inspection couvre l’ensemble des bonnes pratiques de distribution.</w:t>
            </w:r>
          </w:p>
        </w:tc>
        <w:tc>
          <w:tcPr>
            <w:tcW w:w="851" w:type="dxa"/>
            <w:vAlign w:val="center"/>
          </w:tcPr>
          <w:p w14:paraId="019F4753" w14:textId="77777777" w:rsidR="00D27238" w:rsidRDefault="00D27238" w:rsidP="00B67FD8">
            <w:r>
              <w:t xml:space="preserve">☐ Oui   </w:t>
            </w:r>
          </w:p>
          <w:p w14:paraId="567FF05A" w14:textId="77777777" w:rsidR="00D27238" w:rsidRDefault="00D27238" w:rsidP="00B67FD8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05348531" w14:textId="77777777" w:rsidR="00D27238" w:rsidRDefault="00D27238" w:rsidP="00B67FD8"/>
        </w:tc>
      </w:tr>
      <w:tr w:rsidR="00D27238" w14:paraId="0BD3A1B1" w14:textId="77777777" w:rsidTr="00B67FD8">
        <w:trPr>
          <w:trHeight w:val="351"/>
        </w:trPr>
        <w:tc>
          <w:tcPr>
            <w:tcW w:w="4644" w:type="dxa"/>
            <w:vAlign w:val="center"/>
          </w:tcPr>
          <w:p w14:paraId="0160ADA0" w14:textId="77777777" w:rsidR="00D27238" w:rsidRPr="00330B88" w:rsidRDefault="00D27238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Les inspections internes sont documentées et donnent lieu à des actions correctives suivies.</w:t>
            </w:r>
          </w:p>
        </w:tc>
        <w:tc>
          <w:tcPr>
            <w:tcW w:w="851" w:type="dxa"/>
            <w:vAlign w:val="center"/>
          </w:tcPr>
          <w:p w14:paraId="74F189E5" w14:textId="77777777" w:rsidR="00D27238" w:rsidRDefault="00D27238" w:rsidP="00B67FD8">
            <w:r>
              <w:t xml:space="preserve">☐ Oui   </w:t>
            </w:r>
          </w:p>
          <w:p w14:paraId="71440DED" w14:textId="77777777" w:rsidR="00D27238" w:rsidRDefault="00D27238" w:rsidP="00B67FD8">
            <w:r>
              <w:t xml:space="preserve">☐ Non   </w:t>
            </w:r>
          </w:p>
        </w:tc>
        <w:tc>
          <w:tcPr>
            <w:tcW w:w="4819" w:type="dxa"/>
            <w:vAlign w:val="center"/>
          </w:tcPr>
          <w:p w14:paraId="5AD72C84" w14:textId="77777777" w:rsidR="00D27238" w:rsidRDefault="00D27238" w:rsidP="00B67FD8"/>
        </w:tc>
      </w:tr>
    </w:tbl>
    <w:p w14:paraId="728DF21A" w14:textId="77777777" w:rsidR="00B6727F" w:rsidRDefault="00B6727F"/>
    <w:p w14:paraId="4A8DB486" w14:textId="27CD2395" w:rsidR="00B6727F" w:rsidRDefault="0001030C" w:rsidP="00833FE8">
      <w:pPr>
        <w:pStyle w:val="Heading2"/>
        <w:numPr>
          <w:ilvl w:val="0"/>
          <w:numId w:val="10"/>
        </w:numPr>
      </w:pPr>
      <w:r>
        <w:t>Transport</w:t>
      </w:r>
    </w:p>
    <w:tbl>
      <w:tblPr>
        <w:tblStyle w:val="TableGrid"/>
        <w:tblpPr w:leftFromText="141" w:rightFromText="141" w:vertAnchor="text" w:horzAnchor="margin" w:tblpX="-885" w:tblpY="248"/>
        <w:tblW w:w="10314" w:type="dxa"/>
        <w:tblLook w:val="04A0" w:firstRow="1" w:lastRow="0" w:firstColumn="1" w:lastColumn="0" w:noHBand="0" w:noVBand="1"/>
      </w:tblPr>
      <w:tblGrid>
        <w:gridCol w:w="4644"/>
        <w:gridCol w:w="851"/>
        <w:gridCol w:w="4819"/>
      </w:tblGrid>
      <w:tr w:rsidR="00D27238" w14:paraId="26151A43" w14:textId="77777777" w:rsidTr="00B67FD8">
        <w:tc>
          <w:tcPr>
            <w:tcW w:w="4644" w:type="dxa"/>
          </w:tcPr>
          <w:p w14:paraId="4DA765F8" w14:textId="77777777" w:rsidR="00D27238" w:rsidRPr="00330B88" w:rsidRDefault="00D27238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Les véhicules et équipements utilisés garantissent les conditions de transport appropriées.</w:t>
            </w:r>
          </w:p>
        </w:tc>
        <w:tc>
          <w:tcPr>
            <w:tcW w:w="851" w:type="dxa"/>
          </w:tcPr>
          <w:p w14:paraId="29FFBA1B" w14:textId="77777777" w:rsidR="00D27238" w:rsidRDefault="00D27238" w:rsidP="00B67FD8">
            <w:r>
              <w:t xml:space="preserve">☐ Oui   </w:t>
            </w:r>
          </w:p>
          <w:p w14:paraId="52935D92" w14:textId="77777777" w:rsidR="00D27238" w:rsidRDefault="00D27238" w:rsidP="00B67FD8">
            <w:r>
              <w:t xml:space="preserve">☐ Non   </w:t>
            </w:r>
          </w:p>
        </w:tc>
        <w:tc>
          <w:tcPr>
            <w:tcW w:w="4819" w:type="dxa"/>
          </w:tcPr>
          <w:p w14:paraId="7A7999FB" w14:textId="77777777" w:rsidR="00D27238" w:rsidRDefault="00D27238" w:rsidP="00B67FD8"/>
        </w:tc>
      </w:tr>
      <w:tr w:rsidR="00D27238" w14:paraId="0846FE28" w14:textId="77777777" w:rsidTr="00B67FD8">
        <w:tc>
          <w:tcPr>
            <w:tcW w:w="4644" w:type="dxa"/>
          </w:tcPr>
          <w:p w14:paraId="129D3B5C" w14:textId="77777777" w:rsidR="00D27238" w:rsidRPr="00330B88" w:rsidRDefault="00D27238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Les températures et conditions sont enregistrées et contrôlées pendant le transport.</w:t>
            </w:r>
          </w:p>
        </w:tc>
        <w:tc>
          <w:tcPr>
            <w:tcW w:w="851" w:type="dxa"/>
          </w:tcPr>
          <w:p w14:paraId="34FAE2AF" w14:textId="77777777" w:rsidR="00D27238" w:rsidRDefault="00D27238" w:rsidP="00B67FD8">
            <w:r>
              <w:t xml:space="preserve">☐ Oui   </w:t>
            </w:r>
          </w:p>
          <w:p w14:paraId="17D71823" w14:textId="77777777" w:rsidR="00D27238" w:rsidRDefault="00D27238" w:rsidP="00B67FD8">
            <w:r>
              <w:t xml:space="preserve">☐ Non   </w:t>
            </w:r>
          </w:p>
        </w:tc>
        <w:tc>
          <w:tcPr>
            <w:tcW w:w="4819" w:type="dxa"/>
          </w:tcPr>
          <w:p w14:paraId="31C5B1E9" w14:textId="77777777" w:rsidR="00D27238" w:rsidRDefault="00D27238" w:rsidP="00B67FD8"/>
        </w:tc>
      </w:tr>
      <w:tr w:rsidR="00D27238" w14:paraId="1F36C704" w14:textId="77777777" w:rsidTr="00B67FD8">
        <w:tc>
          <w:tcPr>
            <w:tcW w:w="4644" w:type="dxa"/>
          </w:tcPr>
          <w:p w14:paraId="2690F516" w14:textId="77777777" w:rsidR="00D27238" w:rsidRPr="00330B88" w:rsidRDefault="00D27238" w:rsidP="00B67FD8">
            <w:pPr>
              <w:rPr>
                <w:lang w:val="fr-FR"/>
              </w:rPr>
            </w:pPr>
            <w:r w:rsidRPr="00330B88">
              <w:rPr>
                <w:lang w:val="fr-FR"/>
              </w:rPr>
              <w:t>Des procédures spécifiques existent pour les produits thermosensibles ou dangereux.</w:t>
            </w:r>
          </w:p>
        </w:tc>
        <w:tc>
          <w:tcPr>
            <w:tcW w:w="851" w:type="dxa"/>
          </w:tcPr>
          <w:p w14:paraId="22171B72" w14:textId="77777777" w:rsidR="00D27238" w:rsidRDefault="00D27238" w:rsidP="00B67FD8">
            <w:r>
              <w:t xml:space="preserve">☐ Oui   </w:t>
            </w:r>
          </w:p>
          <w:p w14:paraId="6B849EB5" w14:textId="77777777" w:rsidR="00D27238" w:rsidRDefault="00D27238" w:rsidP="00B67FD8">
            <w:r>
              <w:t xml:space="preserve">☐ Non   </w:t>
            </w:r>
          </w:p>
        </w:tc>
        <w:tc>
          <w:tcPr>
            <w:tcW w:w="4819" w:type="dxa"/>
          </w:tcPr>
          <w:p w14:paraId="59C96BBB" w14:textId="77777777" w:rsidR="00D27238" w:rsidRDefault="00D27238" w:rsidP="00B67FD8"/>
        </w:tc>
      </w:tr>
    </w:tbl>
    <w:p w14:paraId="6C208D9D" w14:textId="77777777" w:rsidR="00D27238" w:rsidRDefault="00D27238" w:rsidP="00D27238"/>
    <w:sectPr w:rsidR="00D272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6543CF"/>
    <w:multiLevelType w:val="hybridMultilevel"/>
    <w:tmpl w:val="4B682B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5473">
    <w:abstractNumId w:val="8"/>
  </w:num>
  <w:num w:numId="2" w16cid:durableId="562373008">
    <w:abstractNumId w:val="6"/>
  </w:num>
  <w:num w:numId="3" w16cid:durableId="1436514266">
    <w:abstractNumId w:val="5"/>
  </w:num>
  <w:num w:numId="4" w16cid:durableId="1205605063">
    <w:abstractNumId w:val="4"/>
  </w:num>
  <w:num w:numId="5" w16cid:durableId="2090954325">
    <w:abstractNumId w:val="7"/>
  </w:num>
  <w:num w:numId="6" w16cid:durableId="701201986">
    <w:abstractNumId w:val="3"/>
  </w:num>
  <w:num w:numId="7" w16cid:durableId="2014995087">
    <w:abstractNumId w:val="2"/>
  </w:num>
  <w:num w:numId="8" w16cid:durableId="196084131">
    <w:abstractNumId w:val="1"/>
  </w:num>
  <w:num w:numId="9" w16cid:durableId="616522643">
    <w:abstractNumId w:val="0"/>
  </w:num>
  <w:num w:numId="10" w16cid:durableId="1801457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30C"/>
    <w:rsid w:val="00034616"/>
    <w:rsid w:val="0006063C"/>
    <w:rsid w:val="0012039F"/>
    <w:rsid w:val="00143406"/>
    <w:rsid w:val="0015074B"/>
    <w:rsid w:val="00174407"/>
    <w:rsid w:val="001E4336"/>
    <w:rsid w:val="002512AF"/>
    <w:rsid w:val="0029639D"/>
    <w:rsid w:val="00302213"/>
    <w:rsid w:val="00326F90"/>
    <w:rsid w:val="003271B0"/>
    <w:rsid w:val="00330B88"/>
    <w:rsid w:val="0040465B"/>
    <w:rsid w:val="00466521"/>
    <w:rsid w:val="00526B7B"/>
    <w:rsid w:val="0062598A"/>
    <w:rsid w:val="006B06FA"/>
    <w:rsid w:val="00727A87"/>
    <w:rsid w:val="007316CD"/>
    <w:rsid w:val="00750074"/>
    <w:rsid w:val="00777CD1"/>
    <w:rsid w:val="00810326"/>
    <w:rsid w:val="00833FE8"/>
    <w:rsid w:val="00952A1F"/>
    <w:rsid w:val="00A645F5"/>
    <w:rsid w:val="00AA1D8D"/>
    <w:rsid w:val="00B47730"/>
    <w:rsid w:val="00B6727F"/>
    <w:rsid w:val="00B67FD8"/>
    <w:rsid w:val="00CB0664"/>
    <w:rsid w:val="00D27238"/>
    <w:rsid w:val="00D862C5"/>
    <w:rsid w:val="00DA7A10"/>
    <w:rsid w:val="00E257DE"/>
    <w:rsid w:val="00E424B4"/>
    <w:rsid w:val="00EB752B"/>
    <w:rsid w:val="00EE5939"/>
    <w:rsid w:val="00F95C30"/>
    <w:rsid w:val="00FC64C0"/>
    <w:rsid w:val="00FC693F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137A5C"/>
  <w14:defaultImageDpi w14:val="300"/>
  <w15:docId w15:val="{DB281C4E-EE08-4264-B83F-910452D9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Fanny Grosjean</cp:lastModifiedBy>
  <cp:revision>29</cp:revision>
  <dcterms:created xsi:type="dcterms:W3CDTF">2013-12-23T23:15:00Z</dcterms:created>
  <dcterms:modified xsi:type="dcterms:W3CDTF">2025-11-12T15:10:00Z</dcterms:modified>
  <cp:category/>
</cp:coreProperties>
</file>